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heme="minorHAnsi" w:hAnsiTheme="minorHAnsi" w:cstheme="minorHAnsi"/>
          <w:b/>
          <w:sz w:val="20"/>
          <w:szCs w:val="20"/>
          <w:lang w:val="fr-BE"/>
        </w:rPr>
      </w:pPr>
      <w:r>
        <w:rPr>
          <w:rFonts w:asciiTheme="minorHAnsi" w:hAnsiTheme="minorHAnsi" w:cstheme="minorHAnsi"/>
          <w:b/>
          <w:sz w:val="20"/>
          <w:szCs w:val="20"/>
          <w:lang w:val="fr-BE"/>
        </w:rPr>
        <w:t>ENSEIGNEMENT SECONDAIRE SPECIALISE</w:t>
      </w:r>
    </w:p>
    <w:p>
      <w:pPr>
        <w:jc w:val="center"/>
        <w:rPr>
          <w:rFonts w:asciiTheme="minorHAnsi" w:hAnsiTheme="minorHAnsi" w:cstheme="minorHAnsi"/>
          <w:b/>
          <w:sz w:val="20"/>
          <w:szCs w:val="20"/>
          <w:lang w:val="fr-BE"/>
        </w:rPr>
      </w:pPr>
    </w:p>
    <w:tbl>
      <w:tblPr>
        <w:tblpPr w:leftFromText="141" w:rightFromText="141" w:vertAnchor="text" w:horzAnchor="margin" w:tblpY="206"/>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43"/>
      </w:tblGrid>
      <w:tr>
        <w:trPr>
          <w:trHeight w:val="953"/>
        </w:trPr>
        <w:tc>
          <w:tcPr>
            <w:tcW w:w="10843" w:type="dxa"/>
          </w:tcPr>
          <w:p>
            <w:pPr>
              <w:autoSpaceDE w:val="0"/>
              <w:autoSpaceDN w:val="0"/>
              <w:adjustRightInd w:val="0"/>
              <w:jc w:val="both"/>
              <w:rPr>
                <w:rFonts w:asciiTheme="minorHAnsi" w:hAnsiTheme="minorHAnsi" w:cstheme="minorHAnsi"/>
                <w:bCs/>
                <w:sz w:val="22"/>
                <w:szCs w:val="22"/>
              </w:rPr>
            </w:pPr>
            <w:r>
              <w:rPr>
                <w:rFonts w:asciiTheme="minorHAnsi" w:hAnsiTheme="minorHAnsi" w:cstheme="minorHAnsi"/>
                <w:b/>
                <w:sz w:val="20"/>
                <w:szCs w:val="20"/>
              </w:rPr>
              <w:t xml:space="preserve">Liste des </w:t>
            </w:r>
            <w:r>
              <w:rPr>
                <w:rFonts w:asciiTheme="minorHAnsi" w:hAnsiTheme="minorHAnsi" w:cstheme="minorHAnsi"/>
                <w:b/>
                <w:sz w:val="20"/>
                <w:szCs w:val="20"/>
                <w:u w:val="single"/>
              </w:rPr>
              <w:t>dérogations</w:t>
            </w:r>
            <w:r>
              <w:rPr>
                <w:rFonts w:asciiTheme="minorHAnsi" w:hAnsiTheme="minorHAnsi" w:cstheme="minorHAnsi"/>
                <w:b/>
                <w:sz w:val="20"/>
                <w:szCs w:val="20"/>
              </w:rPr>
              <w:t xml:space="preserve"> à la règle priorisation au primo-recrutement pour le recrutement d’un porteur de </w:t>
            </w:r>
            <w:r>
              <w:rPr>
                <w:rFonts w:asciiTheme="minorHAnsi" w:hAnsiTheme="minorHAnsi" w:cstheme="minorHAnsi"/>
                <w:b/>
                <w:sz w:val="20"/>
                <w:szCs w:val="20"/>
                <w:u w:val="single"/>
              </w:rPr>
              <w:t>titre de pénurie listé (TP) ou de titre de pénurie non listé (TPNL)</w:t>
            </w:r>
            <w:r>
              <w:rPr>
                <w:rFonts w:asciiTheme="minorHAnsi" w:hAnsiTheme="minorHAnsi" w:cstheme="minorHAnsi"/>
                <w:b/>
                <w:sz w:val="20"/>
                <w:szCs w:val="20"/>
              </w:rPr>
              <w:t xml:space="preserve"> telles que prévues aux articles 31</w:t>
            </w:r>
            <w:r>
              <w:rPr>
                <w:rFonts w:asciiTheme="minorHAnsi" w:hAnsiTheme="minorHAnsi" w:cstheme="minorHAnsi"/>
                <w:b/>
                <w:i/>
                <w:sz w:val="20"/>
                <w:szCs w:val="20"/>
              </w:rPr>
              <w:t>bis</w:t>
            </w:r>
            <w:r>
              <w:rPr>
                <w:rFonts w:asciiTheme="minorHAnsi" w:hAnsiTheme="minorHAnsi" w:cstheme="minorHAnsi"/>
                <w:b/>
                <w:sz w:val="20"/>
                <w:szCs w:val="20"/>
              </w:rPr>
              <w:t xml:space="preserve">, 32, 33, 34 et 35 du décret du 11 avril 2014 </w:t>
            </w:r>
            <w:r>
              <w:rPr>
                <w:rFonts w:asciiTheme="minorHAnsi" w:hAnsiTheme="minorHAnsi" w:cstheme="minorHAnsi"/>
                <w:b/>
                <w:bCs/>
                <w:i/>
                <w:sz w:val="20"/>
                <w:szCs w:val="20"/>
              </w:rPr>
              <w:t>réglementant les titres et fonctions dans l'enseignement fondamental et secondaire organisé et subventionné par la Communauté française</w:t>
            </w:r>
          </w:p>
        </w:tc>
      </w:tr>
    </w:tbl>
    <w:p>
      <w:pPr>
        <w:jc w:val="center"/>
        <w:rPr>
          <w:rFonts w:asciiTheme="minorHAnsi" w:hAnsiTheme="minorHAnsi" w:cstheme="minorHAnsi"/>
          <w:b/>
          <w:sz w:val="20"/>
          <w:szCs w:val="20"/>
          <w:lang w:val="fr-BE"/>
        </w:rPr>
      </w:pPr>
    </w:p>
    <w:p>
      <w:pPr>
        <w:shd w:val="clear" w:color="auto" w:fill="FFFFFF" w:themeFill="background1"/>
        <w:jc w:val="both"/>
        <w:rPr>
          <w:rFonts w:asciiTheme="minorHAnsi" w:hAnsiTheme="minorHAnsi" w:cstheme="minorHAnsi"/>
          <w:b/>
          <w:sz w:val="18"/>
          <w:szCs w:val="18"/>
        </w:rPr>
      </w:pPr>
      <w:r>
        <w:rPr>
          <w:rFonts w:asciiTheme="minorHAnsi" w:hAnsiTheme="minorHAnsi" w:cstheme="minorHAnsi"/>
          <w:b/>
          <w:sz w:val="18"/>
          <w:szCs w:val="18"/>
        </w:rPr>
        <w:t>Sur le document de demande d’avance (SEC12), le Pouvoir organisateur doit renseigner le numéro de la dérogation correspondant à la situation rencontrée parmi les dérogations suivantes :</w:t>
      </w:r>
    </w:p>
    <w:p>
      <w:pPr>
        <w:rPr>
          <w:rFonts w:asciiTheme="minorHAnsi" w:hAnsiTheme="minorHAnsi" w:cstheme="minorHAnsi"/>
          <w:b/>
          <w:sz w:val="22"/>
          <w:szCs w:val="22"/>
          <w:u w:val="single"/>
        </w:rPr>
      </w:pPr>
    </w:p>
    <w:p>
      <w:pPr>
        <w:rPr>
          <w:rFonts w:asciiTheme="minorHAnsi" w:hAnsiTheme="minorHAnsi" w:cstheme="minorHAnsi"/>
          <w:sz w:val="20"/>
          <w:szCs w:val="20"/>
        </w:rPr>
      </w:pPr>
    </w:p>
    <w:p>
      <w:pPr>
        <w:pStyle w:val="Paragraphedeliste"/>
        <w:numPr>
          <w:ilvl w:val="0"/>
          <w:numId w:val="8"/>
        </w:numPr>
        <w:ind w:left="284" w:hanging="283"/>
        <w:rPr>
          <w:rFonts w:asciiTheme="minorHAnsi" w:hAnsiTheme="minorHAnsi" w:cstheme="minorHAnsi"/>
          <w:b/>
          <w:sz w:val="20"/>
          <w:szCs w:val="20"/>
          <w:u w:val="single"/>
        </w:rPr>
      </w:pPr>
      <w:r>
        <w:rPr>
          <w:rFonts w:asciiTheme="minorHAnsi" w:hAnsiTheme="minorHAnsi" w:cstheme="minorHAnsi"/>
          <w:b/>
          <w:sz w:val="20"/>
          <w:szCs w:val="20"/>
          <w:u w:val="single"/>
        </w:rPr>
        <w:t>Recrutement dans la même fonction</w:t>
      </w: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1</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autoSpaceDE w:val="0"/>
        <w:autoSpaceDN w:val="0"/>
        <w:adjustRightInd w:val="0"/>
        <w:jc w:val="both"/>
        <w:rPr>
          <w:rFonts w:asciiTheme="minorHAnsi" w:hAnsiTheme="minorHAnsi" w:cstheme="minorHAnsi"/>
          <w:sz w:val="20"/>
          <w:szCs w:val="20"/>
        </w:rPr>
      </w:pPr>
    </w:p>
    <w:p>
      <w:pPr>
        <w:jc w:val="center"/>
        <w:rPr>
          <w:rFonts w:asciiTheme="minorHAnsi" w:hAnsiTheme="minorHAnsi" w:cstheme="minorHAnsi"/>
          <w:b/>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2</w:t>
      </w:r>
    </w:p>
    <w:p>
      <w:pPr>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ou d’un titre suffisant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3</w:t>
      </w: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w:t>
      </w:r>
      <w:r>
        <w:rPr>
          <w:rFonts w:asciiTheme="minorHAnsi" w:hAnsiTheme="minorHAnsi" w:cstheme="minorHAnsi"/>
          <w:b/>
          <w:sz w:val="20"/>
          <w:szCs w:val="20"/>
        </w:rPr>
        <w:t>titre de pénurie non listé</w:t>
      </w:r>
      <w:r>
        <w:rPr>
          <w:rFonts w:asciiTheme="minorHAnsi" w:hAnsiTheme="minorHAnsi" w:cstheme="minorHAnsi"/>
          <w:sz w:val="20"/>
          <w:szCs w:val="20"/>
        </w:rPr>
        <w:t xml:space="preserve"> pour la fonction renseignée sur la demande d’avance, a exercé cette fonction durant 150 jours au cours de  l’année scolaire 2015-2016 et sans interruption depuis cette année scolaire de plus d’une année, à  prestations complètes ou incomplètes comportant au moins le tiers des heures requises pour l’exercice d’une fonction à prestations complètes dans l’enseignement de plein exercice et en alternance.</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porteur d'un titre requis, d’un titre suffisant ou d’un titre de pénurie listé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4</w:t>
      </w:r>
    </w:p>
    <w:p>
      <w:pPr>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pour la fonction renseignée sur la demande d’avance, a exercé l’année scolaire </w:t>
      </w:r>
      <w:bookmarkStart w:id="0" w:name="_GoBack"/>
      <w:bookmarkEnd w:id="0"/>
      <w:r>
        <w:rPr>
          <w:rFonts w:asciiTheme="minorHAnsi" w:hAnsiTheme="minorHAnsi" w:cstheme="minorHAnsi"/>
          <w:sz w:val="20"/>
          <w:szCs w:val="20"/>
        </w:rPr>
        <w:t>précédente cette fonction durant 150 jours,</w:t>
      </w:r>
      <w:r>
        <w:rPr>
          <w:rFonts w:asciiTheme="minorHAnsi" w:hAnsiTheme="minorHAnsi" w:cstheme="minorHAnsi"/>
          <w:color w:val="FF0000"/>
          <w:sz w:val="20"/>
          <w:szCs w:val="20"/>
        </w:rPr>
        <w:t xml:space="preserve"> </w:t>
      </w:r>
      <w:r>
        <w:rPr>
          <w:rFonts w:asciiTheme="minorHAnsi" w:hAnsiTheme="minorHAnsi" w:cstheme="minorHAnsi"/>
          <w:sz w:val="20"/>
          <w:szCs w:val="20"/>
        </w:rPr>
        <w:t xml:space="preserve">à prestations complètes ou incomplètes comportant au moins le tiers des heures requises pour l’exercice d’une fonction à prestations complètes dans l’enseignement de plein exercice et en alternance sur la base d’un </w:t>
      </w:r>
      <w:r>
        <w:rPr>
          <w:rFonts w:asciiTheme="minorHAnsi" w:hAnsiTheme="minorHAnsi" w:cstheme="minorHAnsi"/>
          <w:b/>
          <w:sz w:val="20"/>
          <w:szCs w:val="20"/>
        </w:rPr>
        <w:t>titre qui a fait l’objet d’une décision de déclassement par le Gouvernement</w:t>
      </w:r>
      <w:r>
        <w:rPr>
          <w:rFonts w:asciiTheme="minorHAnsi" w:hAnsiTheme="minorHAnsi" w:cstheme="minorHAnsi"/>
          <w:sz w:val="20"/>
          <w:szCs w:val="20"/>
        </w:rPr>
        <w:t>.</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Si le membre du personnel a été recruté sous le statut ACS ou APE, le coefficient réducteur de 0.3 n’est pas appliqué au calcul de son ancienneté.</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Extension de charge</w:t>
      </w:r>
    </w:p>
    <w:p>
      <w:pPr>
        <w:pStyle w:val="Paragraphedeliste"/>
        <w:ind w:left="426"/>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5</w:t>
      </w:r>
    </w:p>
    <w:p>
      <w:pPr>
        <w:jc w:val="both"/>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autoSpaceDE w:val="0"/>
        <w:autoSpaceDN w:val="0"/>
        <w:adjustRightInd w:val="0"/>
        <w:jc w:val="both"/>
        <w:rPr>
          <w:rFonts w:asciiTheme="minorHAnsi" w:hAnsiTheme="minorHAnsi" w:cstheme="minorHAnsi"/>
          <w:sz w:val="20"/>
          <w:szCs w:val="20"/>
        </w:rPr>
      </w:pPr>
    </w:p>
    <w:p>
      <w:pPr>
        <w:pStyle w:val="Paragraphedeliste"/>
        <w:ind w:left="426"/>
        <w:rPr>
          <w:rFonts w:asciiTheme="minorHAnsi" w:hAnsiTheme="minorHAnsi" w:cstheme="minorHAnsi"/>
          <w:b/>
          <w:sz w:val="20"/>
          <w:szCs w:val="20"/>
          <w:u w:val="single"/>
        </w:rPr>
      </w:pPr>
    </w:p>
    <w:p>
      <w:pPr>
        <w:pStyle w:val="Paragraphedeliste"/>
        <w:numPr>
          <w:ilvl w:val="0"/>
          <w:numId w:val="9"/>
        </w:num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lastRenderedPageBreak/>
        <w:t xml:space="preserve">Le membre du personnel bénéficie d’une extension de charge dans la fonction </w:t>
      </w:r>
      <w:r>
        <w:rPr>
          <w:rFonts w:asciiTheme="minorHAnsi" w:hAnsiTheme="minorHAnsi" w:cstheme="minorHAnsi"/>
          <w:sz w:val="20"/>
          <w:szCs w:val="20"/>
          <w:u w:val="single"/>
        </w:rPr>
        <w:t>en forme 4</w:t>
      </w:r>
      <w:r>
        <w:rPr>
          <w:rFonts w:asciiTheme="minorHAnsi" w:hAnsiTheme="minorHAnsi" w:cstheme="minorHAnsi"/>
          <w:sz w:val="20"/>
          <w:szCs w:val="20"/>
        </w:rPr>
        <w:t xml:space="preserve"> renseignée sur la demande d’avance, pour laquelle il temporaire non prioritaire porteur d’</w:t>
      </w:r>
      <w:r>
        <w:rPr>
          <w:rFonts w:asciiTheme="minorHAnsi" w:hAnsiTheme="minorHAnsi" w:cstheme="minorHAnsi"/>
          <w:b/>
          <w:sz w:val="20"/>
          <w:szCs w:val="20"/>
        </w:rPr>
        <w:t>un titre de pénurie listé,</w:t>
      </w:r>
      <w:r>
        <w:rPr>
          <w:rFonts w:asciiTheme="minorHAnsi" w:hAnsiTheme="minorHAnsi" w:cstheme="minorHAnsi"/>
          <w:sz w:val="20"/>
          <w:szCs w:val="20"/>
        </w:rPr>
        <w:t xml:space="preserve"> car il est en outre nommé/engagé à titre définitif et a exercé durant l’année scolaire précédente ou en cours une ou plusieurs fonctions enseignantes pour laquelle/lesquelles il est porteur d’un titre requis ou suffisant, à prestations incomplètes formant au total au moins le tiers du nombre d’heures requis pour l’exercice d’une fonction à prestations complètes.</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 xml:space="preserve">Cette extension est limitée à maximum le quart du nombre d’heures requis pour une fonction à prestations complètes. </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w:t>
      </w:r>
    </w:p>
    <w:p>
      <w:pPr>
        <w:autoSpaceDE w:val="0"/>
        <w:autoSpaceDN w:val="0"/>
        <w:adjustRightInd w:val="0"/>
        <w:jc w:val="both"/>
        <w:rPr>
          <w:rFonts w:asciiTheme="minorHAnsi" w:hAnsiTheme="minorHAnsi" w:cstheme="minorHAnsi"/>
          <w:sz w:val="20"/>
          <w:szCs w:val="20"/>
        </w:rPr>
      </w:pPr>
    </w:p>
    <w:p>
      <w:pPr>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6</w:t>
      </w:r>
    </w:p>
    <w:p>
      <w:pPr>
        <w:jc w:val="both"/>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numPr>
          <w:ilvl w:val="0"/>
          <w:numId w:val="9"/>
        </w:num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bénéficie d’une extension de charge dans la fonction en </w:t>
      </w:r>
      <w:r>
        <w:rPr>
          <w:rFonts w:asciiTheme="minorHAnsi" w:hAnsiTheme="minorHAnsi" w:cstheme="minorHAnsi"/>
          <w:sz w:val="20"/>
          <w:szCs w:val="20"/>
          <w:u w:val="single"/>
        </w:rPr>
        <w:t>forme 4</w:t>
      </w:r>
      <w:r>
        <w:rPr>
          <w:rFonts w:asciiTheme="minorHAnsi" w:hAnsiTheme="minorHAnsi" w:cstheme="minorHAnsi"/>
          <w:sz w:val="20"/>
          <w:szCs w:val="20"/>
        </w:rPr>
        <w:t xml:space="preserve"> renseignée sur la demande d’avance, pour laquelle il est temporaire non prioritaire porteur d’</w:t>
      </w:r>
      <w:r>
        <w:rPr>
          <w:rFonts w:asciiTheme="minorHAnsi" w:hAnsiTheme="minorHAnsi" w:cstheme="minorHAnsi"/>
          <w:b/>
          <w:sz w:val="20"/>
          <w:szCs w:val="20"/>
        </w:rPr>
        <w:t>un titre de pénurie</w:t>
      </w:r>
      <w:r>
        <w:rPr>
          <w:rFonts w:asciiTheme="minorHAnsi" w:hAnsiTheme="minorHAnsi" w:cstheme="minorHAnsi"/>
          <w:sz w:val="20"/>
          <w:szCs w:val="20"/>
        </w:rPr>
        <w:t xml:space="preserve">, car il est en outre temporaire prioritaire et a exercé durant 150 jours l’année scolaire précédente ou en cours une ou plusieurs fonctions pour laquelle/lesquelles il est porteur d’un titre requis ou suffisant, </w:t>
      </w:r>
      <w:r>
        <w:rPr>
          <w:rFonts w:asciiTheme="minorHAnsi" w:hAnsiTheme="minorHAnsi" w:cstheme="minorHAnsi"/>
          <w:color w:val="000000" w:themeColor="text1"/>
          <w:sz w:val="20"/>
          <w:szCs w:val="20"/>
        </w:rPr>
        <w:t>à prestations incomplètes comportant au moins le tiers  des heures requises pour l’exercice d’une fonction à prestations complètes</w:t>
      </w:r>
      <w:r>
        <w:rPr>
          <w:rFonts w:asciiTheme="minorHAnsi" w:hAnsiTheme="minorHAnsi" w:cstheme="minorHAnsi"/>
          <w:sz w:val="20"/>
          <w:szCs w:val="20"/>
        </w:rPr>
        <w:t>.</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 xml:space="preserve">Cette extension est limitée à maximum le quart du nombre d’heures requis pour une fonction à prestations complètes. </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7</w:t>
      </w:r>
    </w:p>
    <w:p>
      <w:pPr>
        <w:jc w:val="both"/>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autoSpaceDE w:val="0"/>
        <w:autoSpaceDN w:val="0"/>
        <w:adjustRightInd w:val="0"/>
        <w:jc w:val="both"/>
        <w:rPr>
          <w:rFonts w:asciiTheme="minorHAnsi" w:hAnsiTheme="minorHAnsi" w:cstheme="minorHAnsi"/>
          <w:sz w:val="20"/>
          <w:szCs w:val="20"/>
        </w:rPr>
      </w:pPr>
    </w:p>
    <w:p>
      <w:pPr>
        <w:pStyle w:val="Paragraphedeliste"/>
        <w:numPr>
          <w:ilvl w:val="0"/>
          <w:numId w:val="9"/>
        </w:num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bénéficie d’une extension de charge dans la fonction en </w:t>
      </w:r>
      <w:r>
        <w:rPr>
          <w:rFonts w:asciiTheme="minorHAnsi" w:hAnsiTheme="minorHAnsi" w:cstheme="minorHAnsi"/>
          <w:sz w:val="20"/>
          <w:szCs w:val="20"/>
          <w:u w:val="single"/>
        </w:rPr>
        <w:t>forme 4</w:t>
      </w:r>
      <w:r>
        <w:rPr>
          <w:rFonts w:asciiTheme="minorHAnsi" w:hAnsiTheme="minorHAnsi" w:cstheme="minorHAnsi"/>
          <w:sz w:val="20"/>
          <w:szCs w:val="20"/>
        </w:rPr>
        <w:t xml:space="preserve"> renseignée sur la demande d’avance, pour laquelle il est temporaire non prioritaire porteur d’</w:t>
      </w:r>
      <w:r>
        <w:rPr>
          <w:rFonts w:asciiTheme="minorHAnsi" w:hAnsiTheme="minorHAnsi" w:cstheme="minorHAnsi"/>
          <w:b/>
          <w:sz w:val="20"/>
          <w:szCs w:val="20"/>
        </w:rPr>
        <w:t>un titre de pénurie</w:t>
      </w:r>
      <w:r>
        <w:rPr>
          <w:rFonts w:asciiTheme="minorHAnsi" w:hAnsiTheme="minorHAnsi" w:cstheme="minorHAnsi"/>
          <w:sz w:val="20"/>
          <w:szCs w:val="20"/>
        </w:rPr>
        <w:t xml:space="preserve">, car il est en outre temporaire non prioritaire et a exercé durant 150 jours l’année scolaire précédente ou en cours une ou plusieurs fonctions pour laquelle/lesquelles il est porteur d’un titre requis, suffisant ou de pénurie, à prestation incomplètes comportant au moins le tiers des heures requises pour l’exercice d’une fonction à prestations complètes. </w:t>
      </w: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Concernant les fonctions servant au calcul du tiers de charge pour lesquelles il est porteur d’un titre suffisant ou d’un titre de pénurie, ce membre du personnel est porteur du titre pédagogique et a été recruté dans le cadre de l’application de l’article 29 et 29</w:t>
      </w:r>
      <w:r>
        <w:rPr>
          <w:rFonts w:asciiTheme="minorHAnsi" w:hAnsiTheme="minorHAnsi" w:cstheme="minorHAnsi"/>
          <w:i/>
          <w:sz w:val="20"/>
          <w:szCs w:val="20"/>
        </w:rPr>
        <w:t>bis</w:t>
      </w:r>
      <w:r>
        <w:rPr>
          <w:rFonts w:asciiTheme="minorHAnsi" w:hAnsiTheme="minorHAnsi" w:cstheme="minorHAnsi"/>
          <w:sz w:val="20"/>
          <w:szCs w:val="20"/>
        </w:rPr>
        <w:t xml:space="preserve"> du décret du 11 avril 2014.</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 xml:space="preserve">Cette extension est limitée à maximum le quart du nombre d’heures requis pour une fonction à prestations complètes. </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 et qui remplit les mêmes conditions d'ancienneté mais acquises au cours des trois dernières années scolaires.</w:t>
      </w:r>
    </w:p>
    <w:p>
      <w:pPr>
        <w:autoSpaceDE w:val="0"/>
        <w:autoSpaceDN w:val="0"/>
        <w:adjustRightInd w:val="0"/>
        <w:jc w:val="both"/>
        <w:rPr>
          <w:rFonts w:asciiTheme="minorHAnsi" w:hAnsiTheme="minorHAnsi" w:cstheme="minorHAnsi"/>
          <w:sz w:val="20"/>
          <w:szCs w:val="20"/>
        </w:rPr>
      </w:pPr>
    </w:p>
    <w:p>
      <w:pPr>
        <w:autoSpaceDE w:val="0"/>
        <w:autoSpaceDN w:val="0"/>
        <w:adjustRightInd w:val="0"/>
        <w:jc w:val="both"/>
        <w:rPr>
          <w:rFonts w:asciiTheme="minorHAnsi" w:hAnsiTheme="minorHAnsi" w:cstheme="minorHAnsi"/>
          <w:sz w:val="20"/>
          <w:szCs w:val="20"/>
        </w:rPr>
      </w:pPr>
    </w:p>
    <w:p>
      <w:pPr>
        <w:ind w:left="1"/>
        <w:rPr>
          <w:rFonts w:asciiTheme="minorHAnsi" w:hAnsiTheme="minorHAnsi" w:cstheme="minorHAnsi"/>
          <w:b/>
          <w:sz w:val="20"/>
          <w:szCs w:val="20"/>
        </w:rPr>
      </w:pPr>
      <w:r>
        <w:rPr>
          <w:rFonts w:asciiTheme="minorHAnsi" w:hAnsiTheme="minorHAnsi" w:cstheme="minorHAnsi"/>
          <w:b/>
          <w:sz w:val="20"/>
          <w:szCs w:val="20"/>
        </w:rPr>
        <w:t>DEROGATION 8</w:t>
      </w:r>
    </w:p>
    <w:p>
      <w:pPr>
        <w:jc w:val="both"/>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autoSpaceDE w:val="0"/>
        <w:autoSpaceDN w:val="0"/>
        <w:adjustRightInd w:val="0"/>
        <w:jc w:val="both"/>
        <w:rPr>
          <w:rFonts w:asciiTheme="minorHAnsi" w:hAnsiTheme="minorHAnsi" w:cstheme="minorHAnsi"/>
          <w:sz w:val="20"/>
          <w:szCs w:val="20"/>
        </w:rPr>
      </w:pPr>
    </w:p>
    <w:p>
      <w:pPr>
        <w:pStyle w:val="Paragraphedeliste"/>
        <w:numPr>
          <w:ilvl w:val="0"/>
          <w:numId w:val="9"/>
        </w:num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 xml:space="preserve">Le membre du personnel bénéficie d’une extension de charge dans la fonction en </w:t>
      </w:r>
      <w:r>
        <w:rPr>
          <w:rFonts w:asciiTheme="minorHAnsi" w:hAnsiTheme="minorHAnsi" w:cstheme="minorHAnsi"/>
          <w:sz w:val="20"/>
          <w:szCs w:val="20"/>
          <w:u w:val="single"/>
        </w:rPr>
        <w:t>forme 4</w:t>
      </w:r>
      <w:r>
        <w:rPr>
          <w:rFonts w:asciiTheme="minorHAnsi" w:hAnsiTheme="minorHAnsi" w:cstheme="minorHAnsi"/>
          <w:sz w:val="20"/>
          <w:szCs w:val="20"/>
        </w:rPr>
        <w:t xml:space="preserve"> renseignée sur la demande d’avance, pour laquelle il est temporaire non prioritaire porteur d’</w:t>
      </w:r>
      <w:r>
        <w:rPr>
          <w:rFonts w:asciiTheme="minorHAnsi" w:hAnsiTheme="minorHAnsi" w:cstheme="minorHAnsi"/>
          <w:b/>
          <w:sz w:val="20"/>
          <w:szCs w:val="20"/>
        </w:rPr>
        <w:t>un titre de pénurie</w:t>
      </w:r>
      <w:r>
        <w:rPr>
          <w:rFonts w:asciiTheme="minorHAnsi" w:hAnsiTheme="minorHAnsi" w:cstheme="minorHAnsi"/>
          <w:sz w:val="20"/>
          <w:szCs w:val="20"/>
        </w:rPr>
        <w:t>, car il est en outre recruté en tant que temporaire non prioritaire dans une ou plusieurs fonctions pour laquelle/lesquelles il est porteur d’un titre requis, suffisant ou de pénurie, à prestations incomplètes formant au total au moins la moitié du nombre d’heures requis pour une fonction à prestations complètes.</w:t>
      </w: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Concernant les fonctions servant au calcul de la demi-charge pour lesquelles il est porteur d’un titre suffisant ou d’un titre de pénurie, ce membre du personnel est porteur du titre pédagogique et a été recruté dans le cadre de l’application de l’article 29 et 29</w:t>
      </w:r>
      <w:r>
        <w:rPr>
          <w:rFonts w:asciiTheme="minorHAnsi" w:hAnsiTheme="minorHAnsi" w:cstheme="minorHAnsi"/>
          <w:i/>
          <w:sz w:val="20"/>
          <w:szCs w:val="20"/>
        </w:rPr>
        <w:t>bis</w:t>
      </w:r>
      <w:r>
        <w:rPr>
          <w:rFonts w:asciiTheme="minorHAnsi" w:hAnsiTheme="minorHAnsi" w:cstheme="minorHAnsi"/>
          <w:sz w:val="20"/>
          <w:szCs w:val="20"/>
        </w:rPr>
        <w:t xml:space="preserve"> du décret du 11 avril 2014.</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 xml:space="preserve">Cette extension est limitée à maximum le quart du nombre d’heures requis pour une fonction à prestations complètes. </w:t>
      </w:r>
    </w:p>
    <w:p>
      <w:pPr>
        <w:pStyle w:val="Paragraphedeliste"/>
        <w:autoSpaceDE w:val="0"/>
        <w:autoSpaceDN w:val="0"/>
        <w:adjustRightInd w:val="0"/>
        <w:ind w:left="720"/>
        <w:jc w:val="both"/>
        <w:rPr>
          <w:rFonts w:asciiTheme="minorHAnsi" w:hAnsiTheme="minorHAnsi" w:cstheme="minorHAnsi"/>
          <w:sz w:val="20"/>
          <w:szCs w:val="20"/>
        </w:rPr>
      </w:pPr>
    </w:p>
    <w:p>
      <w:pPr>
        <w:pStyle w:val="Paragraphedeliste"/>
        <w:autoSpaceDE w:val="0"/>
        <w:autoSpaceDN w:val="0"/>
        <w:adjustRightInd w:val="0"/>
        <w:ind w:left="720"/>
        <w:jc w:val="both"/>
        <w:rPr>
          <w:rFonts w:asciiTheme="minorHAnsi" w:hAnsiTheme="minorHAnsi" w:cstheme="minorHAnsi"/>
          <w:sz w:val="20"/>
          <w:szCs w:val="20"/>
        </w:rPr>
      </w:pPr>
      <w:r>
        <w:rPr>
          <w:rFonts w:asciiTheme="minorHAnsi" w:hAnsiTheme="minorHAnsi" w:cstheme="minorHAnsi"/>
          <w:sz w:val="20"/>
          <w:szCs w:val="20"/>
        </w:rPr>
        <w:t>L’exercice de cette dérogation ne porte pas préjudice à un membre du personnel mieux titré pour la même fonction, candidat pour cette fonction au sein de Pouvoir organisateur.</w:t>
      </w:r>
    </w:p>
    <w:p>
      <w:pPr>
        <w:rPr>
          <w:rFonts w:asciiTheme="minorHAnsi" w:hAnsiTheme="minorHAnsi" w:cstheme="minorHAnsi"/>
          <w:b/>
          <w:sz w:val="20"/>
          <w:szCs w:val="20"/>
          <w:u w:val="single"/>
        </w:rPr>
      </w:pPr>
    </w:p>
    <w:p>
      <w:pPr>
        <w:pStyle w:val="Paragraphedeliste"/>
        <w:ind w:left="426"/>
        <w:rPr>
          <w:rFonts w:asciiTheme="minorHAnsi" w:hAnsiTheme="minorHAnsi" w:cstheme="minorHAnsi"/>
          <w:b/>
          <w:sz w:val="20"/>
          <w:szCs w:val="20"/>
          <w:u w:val="single"/>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 xml:space="preserve"> Recrutement dans les classes bilingues français-langue des signes</w:t>
      </w:r>
    </w:p>
    <w:p>
      <w:pPr>
        <w:rPr>
          <w:rFonts w:asciiTheme="minorHAnsi" w:hAnsiTheme="minorHAnsi" w:cstheme="minorHAnsi"/>
          <w:b/>
          <w:sz w:val="20"/>
          <w:szCs w:val="20"/>
          <w:u w:val="single"/>
        </w:rPr>
      </w:pPr>
    </w:p>
    <w:p>
      <w:pPr>
        <w:ind w:left="1"/>
        <w:rPr>
          <w:rFonts w:asciiTheme="minorHAnsi" w:hAnsiTheme="minorHAnsi" w:cstheme="minorHAnsi"/>
          <w:b/>
          <w:sz w:val="20"/>
          <w:szCs w:val="20"/>
        </w:rPr>
      </w:pPr>
      <w:r>
        <w:rPr>
          <w:rFonts w:asciiTheme="minorHAnsi" w:hAnsiTheme="minorHAnsi" w:cstheme="minorHAnsi"/>
          <w:b/>
          <w:sz w:val="20"/>
          <w:szCs w:val="20"/>
        </w:rPr>
        <w:t>DEROGATION 9</w:t>
      </w:r>
    </w:p>
    <w:p>
      <w:pPr>
        <w:jc w:val="both"/>
        <w:rPr>
          <w:rFonts w:asciiTheme="minorHAnsi" w:hAnsiTheme="minorHAnsi" w:cstheme="minorHAnsi"/>
          <w:i/>
          <w:sz w:val="20"/>
          <w:szCs w:val="20"/>
        </w:rPr>
      </w:pPr>
      <w:r>
        <w:rPr>
          <w:rFonts w:asciiTheme="minorHAnsi" w:hAnsiTheme="minorHAnsi" w:cstheme="minorHAnsi"/>
          <w:i/>
          <w:sz w:val="20"/>
          <w:szCs w:val="20"/>
        </w:rPr>
        <w:t>Dérogation supprimée par le décret du 17 juillet 2020.</w:t>
      </w:r>
    </w:p>
    <w:p>
      <w:pPr>
        <w:pStyle w:val="Paragraphedeliste"/>
        <w:ind w:left="426"/>
        <w:rPr>
          <w:rFonts w:asciiTheme="minorHAnsi" w:hAnsiTheme="minorHAnsi" w:cstheme="minorHAnsi"/>
          <w:b/>
          <w:sz w:val="20"/>
          <w:szCs w:val="20"/>
          <w:u w:val="single"/>
        </w:rPr>
      </w:pPr>
    </w:p>
    <w:p>
      <w:pPr>
        <w:pStyle w:val="Paragraphedeliste"/>
        <w:ind w:left="426"/>
        <w:rPr>
          <w:rFonts w:asciiTheme="minorHAnsi" w:hAnsiTheme="minorHAnsi" w:cstheme="minorHAnsi"/>
          <w:b/>
          <w:sz w:val="20"/>
          <w:szCs w:val="20"/>
          <w:u w:val="single"/>
        </w:rPr>
      </w:pPr>
    </w:p>
    <w:p>
      <w:pPr>
        <w:pStyle w:val="Paragraphedeliste"/>
        <w:ind w:left="426"/>
        <w:rPr>
          <w:rFonts w:asciiTheme="minorHAnsi" w:hAnsiTheme="minorHAnsi" w:cstheme="minorHAnsi"/>
          <w:b/>
          <w:sz w:val="20"/>
          <w:szCs w:val="20"/>
          <w:u w:val="single"/>
        </w:rPr>
      </w:pPr>
    </w:p>
    <w:p>
      <w:pPr>
        <w:pStyle w:val="Paragraphedeliste"/>
        <w:numPr>
          <w:ilvl w:val="0"/>
          <w:numId w:val="8"/>
        </w:numPr>
        <w:ind w:left="426" w:hanging="426"/>
        <w:rPr>
          <w:rFonts w:asciiTheme="minorHAnsi" w:hAnsiTheme="minorHAnsi" w:cstheme="minorHAnsi"/>
          <w:b/>
          <w:sz w:val="20"/>
          <w:szCs w:val="20"/>
          <w:u w:val="single"/>
        </w:rPr>
      </w:pPr>
      <w:r>
        <w:rPr>
          <w:rFonts w:asciiTheme="minorHAnsi" w:hAnsiTheme="minorHAnsi" w:cstheme="minorHAnsi"/>
          <w:b/>
          <w:sz w:val="20"/>
          <w:szCs w:val="20"/>
          <w:u w:val="single"/>
        </w:rPr>
        <w:t>Recrutement d’un candidat porteur de compétences particulières</w:t>
      </w:r>
    </w:p>
    <w:p>
      <w:pPr>
        <w:jc w:val="both"/>
        <w:rPr>
          <w:rFonts w:asciiTheme="minorHAnsi" w:hAnsiTheme="minorHAnsi" w:cstheme="minorHAnsi"/>
          <w:sz w:val="20"/>
          <w:szCs w:val="20"/>
        </w:rPr>
      </w:pPr>
    </w:p>
    <w:p>
      <w:pPr>
        <w:shd w:val="clear" w:color="auto" w:fill="FFFFFF" w:themeFill="background1"/>
        <w:ind w:left="1"/>
        <w:rPr>
          <w:rFonts w:asciiTheme="minorHAnsi" w:hAnsiTheme="minorHAnsi" w:cstheme="minorHAnsi"/>
          <w:b/>
          <w:sz w:val="20"/>
          <w:szCs w:val="20"/>
        </w:rPr>
      </w:pPr>
      <w:r>
        <w:rPr>
          <w:rFonts w:asciiTheme="minorHAnsi" w:hAnsiTheme="minorHAnsi" w:cstheme="minorHAnsi"/>
          <w:b/>
          <w:sz w:val="20"/>
          <w:szCs w:val="20"/>
        </w:rPr>
        <w:t>DEROGATION 10</w:t>
      </w:r>
    </w:p>
    <w:p>
      <w:pPr>
        <w:jc w:val="both"/>
        <w:rPr>
          <w:rFonts w:asciiTheme="minorHAnsi" w:hAnsiTheme="minorHAnsi" w:cstheme="minorHAnsi"/>
          <w:i/>
          <w:sz w:val="20"/>
          <w:szCs w:val="20"/>
        </w:rPr>
      </w:pPr>
      <w:r>
        <w:rPr>
          <w:rFonts w:asciiTheme="minorHAnsi" w:hAnsiTheme="minorHAnsi" w:cstheme="minorHAnsi"/>
          <w:i/>
          <w:sz w:val="20"/>
          <w:szCs w:val="20"/>
        </w:rPr>
        <w:t>Dérogation modifiée par le décret du 17 juillet 2020.</w:t>
      </w:r>
    </w:p>
    <w:p>
      <w:pPr>
        <w:shd w:val="clear" w:color="auto" w:fill="FFFFFF" w:themeFill="background1"/>
        <w:ind w:left="1"/>
        <w:rPr>
          <w:rFonts w:asciiTheme="minorHAnsi" w:hAnsiTheme="minorHAnsi" w:cstheme="minorHAnsi"/>
          <w:b/>
          <w:sz w:val="20"/>
          <w:szCs w:val="20"/>
        </w:rPr>
      </w:pPr>
    </w:p>
    <w:p>
      <w:pPr>
        <w:tabs>
          <w:tab w:val="left" w:pos="690"/>
        </w:tabs>
        <w:jc w:val="both"/>
        <w:rPr>
          <w:rFonts w:asciiTheme="minorHAnsi" w:hAnsiTheme="minorHAnsi" w:cstheme="minorHAnsi"/>
          <w:sz w:val="20"/>
          <w:szCs w:val="20"/>
        </w:rPr>
      </w:pPr>
      <w:r>
        <w:rPr>
          <w:rFonts w:asciiTheme="minorHAnsi" w:hAnsiTheme="minorHAnsi" w:cstheme="minorHAnsi"/>
          <w:sz w:val="20"/>
          <w:szCs w:val="20"/>
        </w:rPr>
        <w:t xml:space="preserve">Le membre du personnel, temporaire non prioritaire et porteur d’un titre de capacité </w:t>
      </w:r>
      <w:r>
        <w:rPr>
          <w:rFonts w:asciiTheme="minorHAnsi" w:hAnsiTheme="minorHAnsi" w:cstheme="minorHAnsi"/>
          <w:b/>
          <w:sz w:val="20"/>
          <w:szCs w:val="20"/>
        </w:rPr>
        <w:t xml:space="preserve">autre que le titre requis ou suffisant, </w:t>
      </w:r>
      <w:r>
        <w:rPr>
          <w:rFonts w:asciiTheme="minorHAnsi" w:hAnsiTheme="minorHAnsi" w:cstheme="minorHAnsi"/>
          <w:sz w:val="20"/>
          <w:szCs w:val="20"/>
        </w:rPr>
        <w:t>est recruté dans l’enseignement spécialisé des types 6 et 7 ou dans l’enseignement spécialisé organisé en application des articles 8</w:t>
      </w:r>
      <w:r>
        <w:rPr>
          <w:rFonts w:asciiTheme="minorHAnsi" w:hAnsiTheme="minorHAnsi" w:cstheme="minorHAnsi"/>
          <w:i/>
          <w:sz w:val="20"/>
          <w:szCs w:val="20"/>
        </w:rPr>
        <w:t>bis</w:t>
      </w:r>
      <w:r>
        <w:rPr>
          <w:rFonts w:asciiTheme="minorHAnsi" w:hAnsiTheme="minorHAnsi" w:cstheme="minorHAnsi"/>
          <w:sz w:val="20"/>
          <w:szCs w:val="20"/>
        </w:rPr>
        <w:t xml:space="preserve"> et 8</w:t>
      </w:r>
      <w:r>
        <w:rPr>
          <w:rFonts w:asciiTheme="minorHAnsi" w:hAnsiTheme="minorHAnsi" w:cstheme="minorHAnsi"/>
          <w:i/>
          <w:sz w:val="20"/>
          <w:szCs w:val="20"/>
        </w:rPr>
        <w:t>ter</w:t>
      </w:r>
      <w:r>
        <w:rPr>
          <w:rFonts w:asciiTheme="minorHAnsi" w:hAnsiTheme="minorHAnsi" w:cstheme="minorHAnsi"/>
          <w:sz w:val="20"/>
          <w:szCs w:val="20"/>
        </w:rPr>
        <w:t xml:space="preserve"> du décret du 3 mars 2004 organisant l’enseignement spécialisé dans la fonction renseignée sur la demande d’avance et possède une des compétences particulières définies par le Gouvernement et retenues pour l’exercice effectif de sa fonction dans ce cadre. </w:t>
      </w:r>
    </w:p>
    <w:p>
      <w:pPr>
        <w:autoSpaceDE w:val="0"/>
        <w:autoSpaceDN w:val="0"/>
        <w:adjustRightInd w:val="0"/>
        <w:jc w:val="both"/>
        <w:rPr>
          <w:rFonts w:asciiTheme="minorHAnsi" w:hAnsiTheme="minorHAnsi" w:cstheme="minorHAnsi"/>
          <w:sz w:val="20"/>
          <w:szCs w:val="20"/>
        </w:rPr>
      </w:pPr>
    </w:p>
    <w:p>
      <w:pPr>
        <w:rPr>
          <w:rFonts w:asciiTheme="minorHAnsi" w:hAnsiTheme="minorHAnsi" w:cstheme="minorHAnsi"/>
          <w:color w:val="000000"/>
          <w:sz w:val="20"/>
          <w:szCs w:val="20"/>
        </w:rPr>
      </w:pPr>
    </w:p>
    <w:sectPr>
      <w:footerReference w:type="default" r:id="rId8"/>
      <w:pgSz w:w="11906" w:h="16838" w:code="9"/>
      <w:pgMar w:top="284" w:right="851" w:bottom="709" w:left="624" w:header="113"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050573"/>
      <w:docPartObj>
        <w:docPartGallery w:val="Page Numbers (Bottom of Page)"/>
        <w:docPartUnique/>
      </w:docPartObj>
    </w:sdtPr>
    <w:sdtEndPr>
      <w:rPr>
        <w:rFonts w:asciiTheme="minorHAnsi" w:hAnsiTheme="minorHAnsi" w:cstheme="minorHAnsi"/>
        <w:sz w:val="18"/>
        <w:szCs w:val="18"/>
      </w:rPr>
    </w:sdtEndPr>
    <w:sdtContent>
      <w:sdt>
        <w:sdtPr>
          <w:rPr>
            <w:rFonts w:asciiTheme="minorHAnsi" w:hAnsiTheme="minorHAnsi" w:cstheme="minorHAnsi"/>
            <w:sz w:val="18"/>
            <w:szCs w:val="18"/>
          </w:rPr>
          <w:id w:val="-1769616900"/>
          <w:docPartObj>
            <w:docPartGallery w:val="Page Numbers (Top of Page)"/>
            <w:docPartUnique/>
          </w:docPartObj>
        </w:sdtPr>
        <w:sdtContent>
          <w:p>
            <w:pPr>
              <w:pStyle w:val="Pieddepage"/>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 xml:space="preserve">Page </w:t>
            </w:r>
            <w:r>
              <w:rPr>
                <w:rFonts w:asciiTheme="minorHAnsi" w:hAnsiTheme="minorHAnsi" w:cstheme="minorHAnsi"/>
                <w:b/>
                <w:bCs/>
                <w:sz w:val="18"/>
                <w:szCs w:val="18"/>
              </w:rPr>
              <w:fldChar w:fldCharType="begin"/>
            </w:r>
            <w:r>
              <w:rPr>
                <w:rFonts w:asciiTheme="minorHAnsi" w:hAnsiTheme="minorHAnsi" w:cstheme="minorHAnsi"/>
                <w:b/>
                <w:bCs/>
                <w:sz w:val="18"/>
                <w:szCs w:val="18"/>
              </w:rPr>
              <w:instrText>PAGE</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3</w:t>
            </w:r>
            <w:r>
              <w:rPr>
                <w:rFonts w:asciiTheme="minorHAnsi" w:hAnsiTheme="minorHAnsi" w:cstheme="minorHAnsi"/>
                <w:b/>
                <w:bCs/>
                <w:sz w:val="18"/>
                <w:szCs w:val="18"/>
              </w:rPr>
              <w:fldChar w:fldCharType="end"/>
            </w:r>
            <w:r>
              <w:rPr>
                <w:rFonts w:asciiTheme="minorHAnsi" w:hAnsiTheme="minorHAnsi" w:cstheme="minorHAnsi"/>
                <w:sz w:val="18"/>
                <w:szCs w:val="18"/>
              </w:rPr>
              <w:t xml:space="preserve"> sur </w:t>
            </w:r>
            <w:r>
              <w:rPr>
                <w:rFonts w:asciiTheme="minorHAnsi" w:hAnsiTheme="minorHAnsi" w:cstheme="minorHAnsi"/>
                <w:b/>
                <w:bCs/>
                <w:sz w:val="18"/>
                <w:szCs w:val="18"/>
              </w:rPr>
              <w:fldChar w:fldCharType="begin"/>
            </w:r>
            <w:r>
              <w:rPr>
                <w:rFonts w:asciiTheme="minorHAnsi" w:hAnsiTheme="minorHAnsi" w:cstheme="minorHAnsi"/>
                <w:b/>
                <w:bCs/>
                <w:sz w:val="18"/>
                <w:szCs w:val="18"/>
              </w:rPr>
              <w:instrText>NUMPAGES</w:instrText>
            </w:r>
            <w:r>
              <w:rPr>
                <w:rFonts w:asciiTheme="minorHAnsi" w:hAnsiTheme="minorHAnsi" w:cstheme="minorHAnsi"/>
                <w:b/>
                <w:bCs/>
                <w:sz w:val="18"/>
                <w:szCs w:val="18"/>
              </w:rPr>
              <w:fldChar w:fldCharType="separate"/>
            </w:r>
            <w:r>
              <w:rPr>
                <w:rFonts w:asciiTheme="minorHAnsi" w:hAnsiTheme="minorHAnsi" w:cstheme="minorHAnsi"/>
                <w:b/>
                <w:bCs/>
                <w:noProof/>
                <w:sz w:val="18"/>
                <w:szCs w:val="18"/>
              </w:rPr>
              <w:t>3</w:t>
            </w:r>
            <w:r>
              <w:rPr>
                <w:rFonts w:asciiTheme="minorHAnsi" w:hAnsiTheme="minorHAnsi" w:cstheme="minorHAnsi"/>
                <w:b/>
                <w:bCs/>
                <w:sz w:val="18"/>
                <w:szCs w:val="18"/>
              </w:rPr>
              <w:fldChar w:fldCharType="end"/>
            </w:r>
          </w:p>
        </w:sdtContent>
      </w:sdt>
    </w:sdtContent>
  </w:sdt>
  <w:p>
    <w:pPr>
      <w:pStyle w:val="Pieddepage"/>
      <w:jc w:val="right"/>
      <w:rPr>
        <w:rFonts w:asciiTheme="minorHAnsi" w:hAnsiTheme="minorHAnsi" w:cstheme="minorHAnsi"/>
        <w:b/>
        <w:sz w:val="20"/>
        <w:szCs w:val="20"/>
        <w:lang w:val="fr-B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
        <w:separator/>
      </w:r>
    </w:p>
  </w:footnote>
  <w:footnote w:type="continuationSeparator" w:id="0">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3B7BA2"/>
    <w:multiLevelType w:val="hybridMultilevel"/>
    <w:tmpl w:val="DE6C8F6A"/>
    <w:lvl w:ilvl="0" w:tplc="92D69886">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19B73D27"/>
    <w:multiLevelType w:val="hybridMultilevel"/>
    <w:tmpl w:val="D66A27C6"/>
    <w:lvl w:ilvl="0" w:tplc="0F3E288C">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1BD16727"/>
    <w:multiLevelType w:val="hybridMultilevel"/>
    <w:tmpl w:val="089C87D2"/>
    <w:lvl w:ilvl="0" w:tplc="EBC22FEA">
      <w:start w:val="1"/>
      <w:numFmt w:val="upperLetter"/>
      <w:lvlText w:val="%1."/>
      <w:lvlJc w:val="left"/>
      <w:pPr>
        <w:tabs>
          <w:tab w:val="num" w:pos="720"/>
        </w:tabs>
        <w:ind w:left="720" w:hanging="360"/>
      </w:pPr>
      <w:rPr>
        <w:rFonts w:ascii="Century Schoolbook" w:eastAsia="Times New Roman" w:hAnsi="Century Schoolbook" w:cs="Arial"/>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785CA3"/>
    <w:multiLevelType w:val="hybridMultilevel"/>
    <w:tmpl w:val="E9F4D48A"/>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4B3C0116"/>
    <w:multiLevelType w:val="hybridMultilevel"/>
    <w:tmpl w:val="997A6ACE"/>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1A1523"/>
    <w:multiLevelType w:val="hybridMultilevel"/>
    <w:tmpl w:val="24E23C9C"/>
    <w:lvl w:ilvl="0" w:tplc="869A354C">
      <w:numFmt w:val="bullet"/>
      <w:lvlText w:val="-"/>
      <w:lvlJc w:val="left"/>
      <w:pPr>
        <w:ind w:left="1068" w:hanging="360"/>
      </w:pPr>
      <w:rPr>
        <w:rFonts w:ascii="Century Schoolbook" w:eastAsia="Calibri" w:hAnsi="Century Schoolbook" w:cs="Aria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6" w15:restartNumberingAfterBreak="0">
    <w:nsid w:val="64014AD9"/>
    <w:multiLevelType w:val="hybridMultilevel"/>
    <w:tmpl w:val="622EF5F0"/>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ED93B3F"/>
    <w:multiLevelType w:val="hybridMultilevel"/>
    <w:tmpl w:val="64548156"/>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24165E1"/>
    <w:multiLevelType w:val="singleLevel"/>
    <w:tmpl w:val="6728085E"/>
    <w:lvl w:ilvl="0">
      <w:start w:val="1080"/>
      <w:numFmt w:val="decimal"/>
      <w:lvlText w:val="%1"/>
      <w:lvlJc w:val="left"/>
      <w:pPr>
        <w:tabs>
          <w:tab w:val="num" w:pos="780"/>
        </w:tabs>
        <w:ind w:left="780" w:hanging="780"/>
      </w:pPr>
      <w:rPr>
        <w:rFonts w:hint="default"/>
      </w:rPr>
    </w:lvl>
  </w:abstractNum>
  <w:num w:numId="1">
    <w:abstractNumId w:val="8"/>
  </w:num>
  <w:num w:numId="2">
    <w:abstractNumId w:val="2"/>
  </w:num>
  <w:num w:numId="3">
    <w:abstractNumId w:val="6"/>
  </w:num>
  <w:num w:numId="4">
    <w:abstractNumId w:val="4"/>
  </w:num>
  <w:num w:numId="5">
    <w:abstractNumId w:val="7"/>
  </w:num>
  <w:num w:numId="6">
    <w:abstractNumId w:val="5"/>
  </w:num>
  <w:num w:numId="7">
    <w:abstractNumId w:val="1"/>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18781F8-95E6-494D-8444-0B1AF7588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entury Schoolbook" w:hAnsi="Century Schoolbook" w:cs="Arial"/>
      <w:sz w:val="24"/>
      <w:szCs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Pr>
      <w:color w:val="0000FF"/>
      <w:u w:val="single"/>
    </w:rPr>
  </w:style>
  <w:style w:type="paragraph" w:styleId="Lgende">
    <w:name w:val="caption"/>
    <w:basedOn w:val="Normal"/>
    <w:next w:val="Normal"/>
    <w:qFormat/>
    <w:rPr>
      <w:b/>
      <w:bCs/>
      <w:sz w:val="20"/>
      <w:szCs w:val="20"/>
    </w:rPr>
  </w:style>
  <w:style w:type="paragraph" w:styleId="Notedebasdepage">
    <w:name w:val="footnote text"/>
    <w:basedOn w:val="Normal"/>
    <w:semiHidden/>
    <w:rPr>
      <w:sz w:val="20"/>
      <w:szCs w:val="20"/>
    </w:rPr>
  </w:style>
  <w:style w:type="character" w:styleId="Appelnotedebasdep">
    <w:name w:val="footnote reference"/>
    <w:rPr>
      <w:vertAlign w:val="superscript"/>
    </w:rPr>
  </w:style>
  <w:style w:type="paragraph" w:styleId="En-tte">
    <w:name w:val="header"/>
    <w:basedOn w:val="Normal"/>
    <w:link w:val="En-tteCar"/>
    <w:uiPriority w:val="99"/>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Paragraphedeliste">
    <w:name w:val="List Paragraph"/>
    <w:basedOn w:val="Normal"/>
    <w:uiPriority w:val="34"/>
    <w:qFormat/>
    <w:pPr>
      <w:ind w:left="708"/>
    </w:pPr>
  </w:style>
  <w:style w:type="paragraph" w:styleId="Textedebulles">
    <w:name w:val="Balloon Text"/>
    <w:basedOn w:val="Normal"/>
    <w:link w:val="TextedebullesCar"/>
    <w:rPr>
      <w:rFonts w:ascii="Tahoma" w:hAnsi="Tahoma" w:cs="Tahoma"/>
      <w:sz w:val="16"/>
      <w:szCs w:val="16"/>
    </w:rPr>
  </w:style>
  <w:style w:type="character" w:customStyle="1" w:styleId="TextedebullesCar">
    <w:name w:val="Texte de bulles Car"/>
    <w:basedOn w:val="Policepardfaut"/>
    <w:link w:val="Textedebulles"/>
    <w:rPr>
      <w:rFonts w:ascii="Tahoma" w:hAnsi="Tahoma" w:cs="Tahoma"/>
      <w:sz w:val="16"/>
      <w:szCs w:val="16"/>
      <w:lang w:val="fr-FR" w:eastAsia="fr-FR"/>
    </w:rPr>
  </w:style>
  <w:style w:type="character" w:customStyle="1" w:styleId="En-tteCar">
    <w:name w:val="En-tête Car"/>
    <w:basedOn w:val="Policepardfaut"/>
    <w:link w:val="En-tte"/>
    <w:uiPriority w:val="99"/>
    <w:rPr>
      <w:rFonts w:ascii="Century Schoolbook" w:hAnsi="Century Schoolbook" w:cs="Arial"/>
      <w:sz w:val="24"/>
      <w:szCs w:val="24"/>
      <w:lang w:val="fr-FR" w:eastAsia="fr-FR"/>
    </w:rPr>
  </w:style>
  <w:style w:type="character" w:customStyle="1" w:styleId="PieddepageCar">
    <w:name w:val="Pied de page Car"/>
    <w:basedOn w:val="Policepardfaut"/>
    <w:link w:val="Pieddepage"/>
    <w:uiPriority w:val="99"/>
    <w:rPr>
      <w:rFonts w:ascii="Century Schoolbook" w:hAnsi="Century Schoolbook" w:cs="Arial"/>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8038E7-312B-47E5-9CB4-252C6BD63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1390</Words>
  <Characters>7526</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Ministère de la Fédération Wallonie-Bruxelles</vt:lpstr>
    </vt:vector>
  </TitlesOfParts>
  <Company>ETNIC</Company>
  <LinksUpToDate>false</LinksUpToDate>
  <CharactersWithSpaces>8899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Ministère de la Fédération Wallonie-Bruxelles</dc:title>
  <dc:creator>ETNIC</dc:creator>
  <cp:lastModifiedBy>MICHIELS Jan</cp:lastModifiedBy>
  <cp:revision>6</cp:revision>
  <cp:lastPrinted>2017-10-20T11:27:00Z</cp:lastPrinted>
  <dcterms:created xsi:type="dcterms:W3CDTF">2020-08-14T14:31:00Z</dcterms:created>
  <dcterms:modified xsi:type="dcterms:W3CDTF">2020-08-26T15:50:00Z</dcterms:modified>
</cp:coreProperties>
</file>