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theme/theme1.xml" ContentType="application/vnd.openxmlformats-officedocument.theme+xml"/>
  <Override PartName="/word/settings.xml" ContentType="application/vnd.openxmlformats-officedocument.wordprocessingml.settings+xml"/>
  <Override PartName="/word/webSettings.xml" ContentType="application/vnd.openxmlformats-officedocument.wordprocessingml.webSettings+xml"/>
  <Override PartName="/word/styles.xml" ContentType="application/vnd.openxmlformats-officedocument.wordprocessingml.styles+xml"/>
  <Override PartName="/docProps/core.xml" ContentType="application/vnd.openxmlformats-package.core-properties+xml"/>
  <Override PartName="/word/numbering.xml" ContentType="application/vnd.openxmlformats-officedocument.wordprocessingml.numbering+xml"/>
  <Override PartName="/word/fontTable.xml" ContentType="application/vnd.openxmlformats-officedocument.wordprocessingml.fontTable+xml"/>
  <Override PartName="/docProps/app.xml" ContentType="application/vnd.openxmlformats-officedocument.extended-properties+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A9077B" w:rsidRPr="00A9077B" w:rsidRDefault="00A9077B" w:rsidP="00A9077B">
      <w:pPr>
        <w:jc w:val="center"/>
      </w:pPr>
      <w:r w:rsidRPr="00A9077B">
        <w:rPr>
          <w:b/>
          <w:bCs/>
        </w:rPr>
        <w:t>COMMISSION PARITAIRE CENTRALE DE L’ENSEIGNEMENT LIBRE CONFESSIONNEL.</w:t>
      </w:r>
    </w:p>
    <w:p w:rsidR="00A9077B" w:rsidRPr="00A9077B" w:rsidRDefault="00A9077B" w:rsidP="00A9077B">
      <w:pPr>
        <w:jc w:val="both"/>
      </w:pPr>
      <w:r w:rsidRPr="00A9077B">
        <w:t>Décision du 10 juillet 2007 relative à l’appel à candidatures pour l’admission au stage de directeur ou</w:t>
      </w:r>
      <w:r>
        <w:t xml:space="preserve"> </w:t>
      </w:r>
      <w:r w:rsidRPr="00A9077B">
        <w:t xml:space="preserve">pour l’engagement à titre temporaire pour une durée de plus de 15 semaines dans une fonction de directeur. </w:t>
      </w:r>
    </w:p>
    <w:p w:rsidR="00A9077B" w:rsidRPr="00A9077B" w:rsidRDefault="00A9077B" w:rsidP="00A9077B">
      <w:pPr>
        <w:jc w:val="both"/>
        <w:rPr>
          <w:u w:val="single"/>
        </w:rPr>
      </w:pPr>
      <w:r w:rsidRPr="00A9077B">
        <w:rPr>
          <w:u w:val="single"/>
        </w:rPr>
        <w:t xml:space="preserve">Chapitre I. Portée de la décision. </w:t>
      </w:r>
    </w:p>
    <w:p w:rsidR="00A9077B" w:rsidRPr="00A9077B" w:rsidRDefault="00A9077B" w:rsidP="00A9077B">
      <w:pPr>
        <w:jc w:val="both"/>
      </w:pPr>
      <w:r w:rsidRPr="00A9077B">
        <w:rPr>
          <w:b/>
        </w:rPr>
        <w:t>Article 1</w:t>
      </w:r>
      <w:r w:rsidRPr="00A9077B">
        <w:rPr>
          <w:b/>
          <w:vertAlign w:val="superscript"/>
        </w:rPr>
        <w:t>er</w:t>
      </w:r>
      <w:r w:rsidRPr="00A9077B">
        <w:rPr>
          <w:b/>
        </w:rPr>
        <w:t>.</w:t>
      </w:r>
      <w:r w:rsidRPr="00A9077B">
        <w:t xml:space="preserve"> L’emploi dans la présente décision du nom masculin pour la fonction de directeur est épicène en vue d’assurer la lisibilité du texte nonobstant les dispositions du décret du 21 juin 1993 relatif à la féminisation des noms de métier. </w:t>
      </w:r>
    </w:p>
    <w:p w:rsidR="00A9077B" w:rsidRPr="00A9077B" w:rsidRDefault="00A9077B" w:rsidP="00A9077B">
      <w:pPr>
        <w:jc w:val="both"/>
      </w:pPr>
      <w:r w:rsidRPr="00A9077B">
        <w:t xml:space="preserve">La présente décision s’applique aux pouvoirs organisateurs et membres du personnel relevant de la compétence de la présente commission paritaire. </w:t>
      </w:r>
    </w:p>
    <w:p w:rsidR="00A9077B" w:rsidRPr="00A9077B" w:rsidRDefault="00A9077B" w:rsidP="00A9077B">
      <w:pPr>
        <w:jc w:val="both"/>
      </w:pPr>
      <w:r w:rsidRPr="00A9077B">
        <w:rPr>
          <w:b/>
        </w:rPr>
        <w:t>Article 2</w:t>
      </w:r>
      <w:r w:rsidRPr="00A9077B">
        <w:t xml:space="preserve">. La présente décision a pour objet de déterminer les modalités d’appel à candidatures pour l’admission au stage de directeur ou pour l’engagement à titre temporaire pour une durée de plus de 15 semaines dans une fonction de directeur ainsi que les modalités de diffusion de cet appel conformément à l’article 79 §2 du décret du 2 février 2007 fixant le statut des directeurs. </w:t>
      </w:r>
    </w:p>
    <w:p w:rsidR="00A9077B" w:rsidRPr="00A9077B" w:rsidRDefault="00A9077B" w:rsidP="00A9077B">
      <w:pPr>
        <w:jc w:val="both"/>
        <w:rPr>
          <w:u w:val="single"/>
        </w:rPr>
      </w:pPr>
      <w:r w:rsidRPr="00A9077B">
        <w:rPr>
          <w:u w:val="single"/>
        </w:rPr>
        <w:t xml:space="preserve">Chapitre II. Définition. </w:t>
      </w:r>
    </w:p>
    <w:p w:rsidR="00A9077B" w:rsidRPr="00A9077B" w:rsidRDefault="00A9077B" w:rsidP="00A9077B">
      <w:pPr>
        <w:jc w:val="both"/>
      </w:pPr>
      <w:r w:rsidRPr="00A9077B">
        <w:rPr>
          <w:b/>
        </w:rPr>
        <w:t>Article 3.</w:t>
      </w:r>
      <w:r w:rsidRPr="00A9077B">
        <w:t xml:space="preserve"> L’appel à candidature est constitué par les documents annexés à la présente décision. </w:t>
      </w:r>
    </w:p>
    <w:p w:rsidR="00A9077B" w:rsidRPr="00A9077B" w:rsidRDefault="00A9077B" w:rsidP="00A9077B">
      <w:pPr>
        <w:jc w:val="both"/>
      </w:pPr>
      <w:r w:rsidRPr="00A9077B">
        <w:t xml:space="preserve">Chapitre III. Diffusion de l’appel à candidature. </w:t>
      </w:r>
    </w:p>
    <w:p w:rsidR="00A9077B" w:rsidRPr="00A9077B" w:rsidRDefault="00A9077B" w:rsidP="00A9077B">
      <w:pPr>
        <w:jc w:val="both"/>
      </w:pPr>
      <w:r w:rsidRPr="00A9077B">
        <w:rPr>
          <w:b/>
        </w:rPr>
        <w:t>Article 4.</w:t>
      </w:r>
      <w:r w:rsidRPr="00A9077B">
        <w:t xml:space="preserve"> L’appel à candidature est interne et/ou externe au pouvoir organisateur. </w:t>
      </w:r>
    </w:p>
    <w:p w:rsidR="00A9077B" w:rsidRPr="00A9077B" w:rsidRDefault="00A9077B" w:rsidP="00A9077B">
      <w:pPr>
        <w:jc w:val="both"/>
      </w:pPr>
      <w:r w:rsidRPr="00A9077B">
        <w:t xml:space="preserve">En ce qui concerne l’appel interne, le pouvoir organisateur : </w:t>
      </w:r>
    </w:p>
    <w:p w:rsidR="00A9077B" w:rsidRPr="00A9077B" w:rsidRDefault="00A9077B" w:rsidP="00A9077B">
      <w:pPr>
        <w:numPr>
          <w:ilvl w:val="0"/>
          <w:numId w:val="1"/>
        </w:numPr>
        <w:jc w:val="both"/>
      </w:pPr>
      <w:r>
        <w:t xml:space="preserve">- </w:t>
      </w:r>
      <w:r w:rsidRPr="00A9077B">
        <w:t xml:space="preserve">affiche l’appel dans chacun des établissements ou implantations qu’il organise ; </w:t>
      </w:r>
    </w:p>
    <w:p w:rsidR="00A9077B" w:rsidRPr="00A9077B" w:rsidRDefault="00A9077B" w:rsidP="00A9077B">
      <w:pPr>
        <w:numPr>
          <w:ilvl w:val="0"/>
          <w:numId w:val="1"/>
        </w:numPr>
        <w:jc w:val="both"/>
      </w:pPr>
      <w:r>
        <w:t xml:space="preserve">- </w:t>
      </w:r>
      <w:r w:rsidRPr="00A9077B">
        <w:t xml:space="preserve">remet copie de l’appel aux membres de son personnel qui en font la demande ; </w:t>
      </w:r>
    </w:p>
    <w:p w:rsidR="00A9077B" w:rsidRPr="00A9077B" w:rsidRDefault="00A9077B" w:rsidP="00A9077B">
      <w:pPr>
        <w:numPr>
          <w:ilvl w:val="0"/>
          <w:numId w:val="1"/>
        </w:numPr>
        <w:jc w:val="both"/>
      </w:pPr>
      <w:r>
        <w:t xml:space="preserve">- </w:t>
      </w:r>
      <w:r w:rsidRPr="00A9077B">
        <w:t xml:space="preserve">envoie copie de l’appel aux membres de son personnel absents pour autant qu’ils en aient fait préalablement la demande ; </w:t>
      </w:r>
    </w:p>
    <w:p w:rsidR="00A9077B" w:rsidRPr="00A9077B" w:rsidRDefault="00A9077B" w:rsidP="00A9077B">
      <w:pPr>
        <w:numPr>
          <w:ilvl w:val="0"/>
          <w:numId w:val="1"/>
        </w:numPr>
        <w:jc w:val="both"/>
      </w:pPr>
      <w:r>
        <w:t xml:space="preserve">- </w:t>
      </w:r>
      <w:r w:rsidRPr="00A9077B">
        <w:t xml:space="preserve">remet copie contre accusé de réception au Conseil d’entreprise, à défaut à l’Instance de Concertation sociale, à défaut à la délégation syndicale. </w:t>
      </w:r>
    </w:p>
    <w:p w:rsidR="00A9077B" w:rsidRPr="00A9077B" w:rsidRDefault="00A9077B" w:rsidP="00A9077B">
      <w:pPr>
        <w:jc w:val="both"/>
      </w:pPr>
      <w:r w:rsidRPr="00A9077B">
        <w:t xml:space="preserve">En ce qui concerne l’appel externe, le pouvoir organisateur s’adresse le cas échéant à son organe de fédération et de coordination qui diffusera selon les pratiques en usage en son sein. </w:t>
      </w:r>
    </w:p>
    <w:p w:rsidR="00A9077B" w:rsidRPr="00A9077B" w:rsidRDefault="00A9077B" w:rsidP="00A9077B">
      <w:pPr>
        <w:jc w:val="both"/>
        <w:rPr>
          <w:u w:val="single"/>
        </w:rPr>
      </w:pPr>
      <w:r w:rsidRPr="00A9077B">
        <w:rPr>
          <w:u w:val="single"/>
        </w:rPr>
        <w:t xml:space="preserve">Chapitre IV. Dispositions finales </w:t>
      </w:r>
    </w:p>
    <w:p w:rsidR="00A9077B" w:rsidRPr="00A9077B" w:rsidRDefault="00A9077B" w:rsidP="00A9077B">
      <w:pPr>
        <w:jc w:val="both"/>
      </w:pPr>
      <w:r w:rsidRPr="00A9077B">
        <w:rPr>
          <w:b/>
        </w:rPr>
        <w:t>Article 5.</w:t>
      </w:r>
      <w:r w:rsidRPr="00A9077B">
        <w:t xml:space="preserve"> La présente décision entre en vigueur à la date du 1er septembre 2007 pour une durée indéterminée. </w:t>
      </w:r>
    </w:p>
    <w:p w:rsidR="00A9077B" w:rsidRPr="00A9077B" w:rsidRDefault="00A9077B" w:rsidP="00A9077B">
      <w:pPr>
        <w:jc w:val="both"/>
      </w:pPr>
      <w:r w:rsidRPr="00A9077B">
        <w:t xml:space="preserve">Elle pourra être révisée ou dénoncée à la demande de la partie signataire la plus diligente, moyennant un préavis de six mois. </w:t>
      </w:r>
    </w:p>
    <w:p w:rsidR="00A9077B" w:rsidRPr="00A9077B" w:rsidRDefault="00A9077B" w:rsidP="00A9077B">
      <w:pPr>
        <w:jc w:val="both"/>
      </w:pPr>
      <w:r w:rsidRPr="00A9077B">
        <w:t xml:space="preserve">La partie qui prend l’initiative de la révision ou de la dénonciation doit en indiquer les motifs et déposer des propositions d’amendement auprès du Président de la Commission paritaire. </w:t>
      </w:r>
    </w:p>
    <w:p w:rsidR="00A9077B" w:rsidRPr="00A9077B" w:rsidRDefault="00A9077B" w:rsidP="00A9077B">
      <w:pPr>
        <w:jc w:val="both"/>
      </w:pPr>
      <w:r w:rsidRPr="00A9077B">
        <w:rPr>
          <w:b/>
        </w:rPr>
        <w:t>Article 6.</w:t>
      </w:r>
      <w:r w:rsidRPr="00A9077B">
        <w:t xml:space="preserve"> Les parties signataires demandent au Gouvernement de la Communauté française de rendre obligatoire la présente décision conformément aux dispositions du décret du 1er février 1993 fixant le statut des membres du personnel subsidiés de l’enseignement libre subventionné. </w:t>
      </w:r>
    </w:p>
    <w:p w:rsidR="00A9077B" w:rsidRDefault="00A9077B" w:rsidP="00A9077B">
      <w:r w:rsidRPr="00A9077B">
        <w:lastRenderedPageBreak/>
        <w:t xml:space="preserve">Fait à Bruxelles, le 10 juillet 2007. </w:t>
      </w:r>
    </w:p>
    <w:p w:rsidR="00A9077B" w:rsidRDefault="00A9077B" w:rsidP="00A9077B">
      <w:r>
        <w:br w:type="page"/>
      </w:r>
    </w:p>
    <w:p w:rsidR="00A9077B" w:rsidRPr="00A9077B" w:rsidRDefault="00A9077B" w:rsidP="00A9077B">
      <w:pPr>
        <w:jc w:val="center"/>
      </w:pPr>
      <w:r w:rsidRPr="00A9077B">
        <w:rPr>
          <w:b/>
          <w:bCs/>
        </w:rPr>
        <w:lastRenderedPageBreak/>
        <w:t>COMMISSION PARITAIRE CENTRALE DE L’ENSEIGNEMENT LIBRE NON CONFESSIONNEL.</w:t>
      </w:r>
    </w:p>
    <w:p w:rsidR="00A9077B" w:rsidRPr="00A9077B" w:rsidRDefault="00A9077B" w:rsidP="00A9077B">
      <w:pPr>
        <w:jc w:val="both"/>
      </w:pPr>
      <w:r w:rsidRPr="00A9077B">
        <w:t xml:space="preserve">Décision du 10 juillet 2007 relative à l’appel à candidatures pour l’admission au stage de directeur ou pour l’engagement à titre temporaire pour une durée de plus de 15 semaines dans une fonction de directeur. </w:t>
      </w:r>
    </w:p>
    <w:p w:rsidR="00A9077B" w:rsidRPr="00A9077B" w:rsidRDefault="00A9077B" w:rsidP="00A9077B">
      <w:pPr>
        <w:jc w:val="both"/>
        <w:rPr>
          <w:u w:val="single"/>
        </w:rPr>
      </w:pPr>
      <w:r w:rsidRPr="00A9077B">
        <w:rPr>
          <w:u w:val="single"/>
        </w:rPr>
        <w:t xml:space="preserve">Chapitre I. Portée de la décision. </w:t>
      </w:r>
    </w:p>
    <w:p w:rsidR="00A9077B" w:rsidRPr="00A9077B" w:rsidRDefault="00A9077B" w:rsidP="00A9077B">
      <w:pPr>
        <w:jc w:val="both"/>
      </w:pPr>
      <w:r w:rsidRPr="00A9077B">
        <w:rPr>
          <w:b/>
        </w:rPr>
        <w:t>Article 1</w:t>
      </w:r>
      <w:r w:rsidRPr="00A9077B">
        <w:rPr>
          <w:b/>
          <w:vertAlign w:val="superscript"/>
        </w:rPr>
        <w:t>er</w:t>
      </w:r>
      <w:r w:rsidRPr="00A9077B">
        <w:rPr>
          <w:b/>
        </w:rPr>
        <w:t>.</w:t>
      </w:r>
      <w:r w:rsidRPr="00A9077B">
        <w:t xml:space="preserve"> L’emploi dans la présente décision du nom masculin pour la fonction de directeur est épicène en vue d’assurer la lisibilité du texte nonobstant les dispositions du décret du 21 juin 1993 relatif à la féminisation des noms de métier. </w:t>
      </w:r>
    </w:p>
    <w:p w:rsidR="00A9077B" w:rsidRPr="00A9077B" w:rsidRDefault="00A9077B" w:rsidP="00A9077B">
      <w:pPr>
        <w:jc w:val="both"/>
      </w:pPr>
      <w:r w:rsidRPr="00A9077B">
        <w:t xml:space="preserve">La présente décision s’applique aux pouvoirs organisateurs et membres du personnel relevant de la compétence de la présente commission paritaire. </w:t>
      </w:r>
    </w:p>
    <w:p w:rsidR="00A9077B" w:rsidRPr="00A9077B" w:rsidRDefault="00A9077B" w:rsidP="00A9077B">
      <w:pPr>
        <w:jc w:val="both"/>
      </w:pPr>
      <w:r w:rsidRPr="00A9077B">
        <w:rPr>
          <w:b/>
        </w:rPr>
        <w:t>Article 2.</w:t>
      </w:r>
      <w:r w:rsidRPr="00A9077B">
        <w:t xml:space="preserve"> La présente décision a pour objet de déterminer les modalités d’appel à candidatures pour l’admission au stage de directeur ou pour l’engagement à titre temporaire pour une durée de plus de 15 semaines dans une fonction de directeur ainsi que les modalités de diffusion de cet appel conformément à l’article 79 § 2 du décret du 2 février 2007 fixant le statut des directeurs. </w:t>
      </w:r>
    </w:p>
    <w:p w:rsidR="00A9077B" w:rsidRPr="00A9077B" w:rsidRDefault="00A9077B" w:rsidP="00A9077B">
      <w:pPr>
        <w:jc w:val="both"/>
      </w:pPr>
      <w:r w:rsidRPr="00A9077B">
        <w:rPr>
          <w:u w:val="single"/>
        </w:rPr>
        <w:t>Chapitre II. Définition</w:t>
      </w:r>
      <w:r w:rsidRPr="00A9077B">
        <w:t xml:space="preserve">. </w:t>
      </w:r>
    </w:p>
    <w:p w:rsidR="00A9077B" w:rsidRPr="00A9077B" w:rsidRDefault="00A9077B" w:rsidP="00A9077B">
      <w:pPr>
        <w:jc w:val="both"/>
      </w:pPr>
      <w:r w:rsidRPr="00A9077B">
        <w:rPr>
          <w:b/>
        </w:rPr>
        <w:t>Article 3.</w:t>
      </w:r>
      <w:r w:rsidRPr="00A9077B">
        <w:t xml:space="preserve"> L’appel à candidature est constitué par les documents annexés à la présente décision. </w:t>
      </w:r>
    </w:p>
    <w:p w:rsidR="00A9077B" w:rsidRPr="00A9077B" w:rsidRDefault="00A9077B" w:rsidP="00A9077B">
      <w:pPr>
        <w:jc w:val="both"/>
      </w:pPr>
      <w:r w:rsidRPr="00A9077B">
        <w:rPr>
          <w:u w:val="single"/>
        </w:rPr>
        <w:t>Chapitre III. Diffusion de l’appel à candidature</w:t>
      </w:r>
      <w:r w:rsidRPr="00A9077B">
        <w:t xml:space="preserve">. </w:t>
      </w:r>
    </w:p>
    <w:p w:rsidR="00A9077B" w:rsidRPr="00A9077B" w:rsidRDefault="00A9077B" w:rsidP="00A9077B">
      <w:pPr>
        <w:jc w:val="both"/>
      </w:pPr>
      <w:r w:rsidRPr="00A9077B">
        <w:rPr>
          <w:b/>
        </w:rPr>
        <w:t>Article 4.</w:t>
      </w:r>
      <w:r w:rsidRPr="00A9077B">
        <w:t xml:space="preserve"> L’appel à candidature est interne et/ou externe au pouvoir organisateur. </w:t>
      </w:r>
    </w:p>
    <w:p w:rsidR="00A9077B" w:rsidRPr="00A9077B" w:rsidRDefault="00A9077B" w:rsidP="00A9077B">
      <w:pPr>
        <w:jc w:val="both"/>
      </w:pPr>
      <w:r w:rsidRPr="00A9077B">
        <w:t xml:space="preserve">En ce qui concerne l’appel interne, le pouvoir organisateur : </w:t>
      </w:r>
    </w:p>
    <w:p w:rsidR="00A9077B" w:rsidRPr="00A9077B" w:rsidRDefault="00A9077B" w:rsidP="00A9077B">
      <w:pPr>
        <w:numPr>
          <w:ilvl w:val="0"/>
          <w:numId w:val="2"/>
        </w:numPr>
        <w:jc w:val="both"/>
      </w:pPr>
      <w:r>
        <w:t xml:space="preserve">- </w:t>
      </w:r>
      <w:r w:rsidRPr="00A9077B">
        <w:t xml:space="preserve">affiche l’appel dans chacun des établissements ou implantations qu’il organise ; </w:t>
      </w:r>
    </w:p>
    <w:p w:rsidR="00A9077B" w:rsidRPr="00A9077B" w:rsidRDefault="00A9077B" w:rsidP="00A9077B">
      <w:pPr>
        <w:numPr>
          <w:ilvl w:val="0"/>
          <w:numId w:val="2"/>
        </w:numPr>
        <w:jc w:val="both"/>
      </w:pPr>
      <w:r>
        <w:t xml:space="preserve">- </w:t>
      </w:r>
      <w:r w:rsidRPr="00A9077B">
        <w:t xml:space="preserve">remet copie de l’appel aux membres de son personnel qui en font la demande ; </w:t>
      </w:r>
    </w:p>
    <w:p w:rsidR="00A9077B" w:rsidRPr="00A9077B" w:rsidRDefault="00A9077B" w:rsidP="00A9077B">
      <w:pPr>
        <w:numPr>
          <w:ilvl w:val="0"/>
          <w:numId w:val="2"/>
        </w:numPr>
        <w:jc w:val="both"/>
      </w:pPr>
      <w:r>
        <w:t xml:space="preserve">- </w:t>
      </w:r>
      <w:r w:rsidRPr="00A9077B">
        <w:t xml:space="preserve">envoie copie de l’appel aux membres de son personnel absents pour autant qu’ils en aient fait préalablement la demande ; </w:t>
      </w:r>
    </w:p>
    <w:p w:rsidR="00A9077B" w:rsidRPr="00A9077B" w:rsidRDefault="00A9077B" w:rsidP="00A9077B">
      <w:pPr>
        <w:numPr>
          <w:ilvl w:val="0"/>
          <w:numId w:val="2"/>
        </w:numPr>
        <w:jc w:val="both"/>
      </w:pPr>
      <w:r>
        <w:t xml:space="preserve">- </w:t>
      </w:r>
      <w:r w:rsidRPr="00A9077B">
        <w:t xml:space="preserve">remet copie contre accusé de réception au Conseil d’entreprise, à défaut à l’Instance de Concertation sociale, à défaut à la délégation syndicale. </w:t>
      </w:r>
    </w:p>
    <w:p w:rsidR="00A9077B" w:rsidRPr="00A9077B" w:rsidRDefault="00A9077B" w:rsidP="00A9077B">
      <w:pPr>
        <w:jc w:val="both"/>
      </w:pPr>
      <w:r w:rsidRPr="00A9077B">
        <w:t xml:space="preserve">En ce qui concerne l’appel externe, le pouvoir organisateur s’adresse le cas échéant à son organe de fédération et de coordination qui diffusera selon les pratiques en usage en son sein. </w:t>
      </w:r>
    </w:p>
    <w:p w:rsidR="00A9077B" w:rsidRPr="00A9077B" w:rsidRDefault="00A9077B" w:rsidP="00A9077B">
      <w:pPr>
        <w:jc w:val="both"/>
        <w:rPr>
          <w:u w:val="single"/>
        </w:rPr>
      </w:pPr>
      <w:r w:rsidRPr="00A9077B">
        <w:rPr>
          <w:u w:val="single"/>
        </w:rPr>
        <w:t xml:space="preserve">Chapitre IV. Dispositions finales </w:t>
      </w:r>
    </w:p>
    <w:p w:rsidR="00A9077B" w:rsidRPr="00A9077B" w:rsidRDefault="00A9077B" w:rsidP="00A9077B">
      <w:pPr>
        <w:jc w:val="both"/>
      </w:pPr>
      <w:r w:rsidRPr="00A9077B">
        <w:rPr>
          <w:b/>
        </w:rPr>
        <w:t>Article 5.</w:t>
      </w:r>
      <w:r w:rsidRPr="00A9077B">
        <w:t xml:space="preserve"> La présente décision entre en vigueur à la date du 1er septembre 2007 pour une durée indéterminée. </w:t>
      </w:r>
    </w:p>
    <w:p w:rsidR="00A9077B" w:rsidRPr="00A9077B" w:rsidRDefault="00A9077B" w:rsidP="00A9077B">
      <w:pPr>
        <w:jc w:val="both"/>
      </w:pPr>
      <w:r w:rsidRPr="00A9077B">
        <w:t xml:space="preserve">Elle pourra être révisée ou dénoncée à la demande de la partie signataire la plus diligente, moyennant un préavis de six mois. </w:t>
      </w:r>
    </w:p>
    <w:p w:rsidR="00A9077B" w:rsidRPr="00A9077B" w:rsidRDefault="00A9077B" w:rsidP="00A9077B">
      <w:pPr>
        <w:jc w:val="both"/>
      </w:pPr>
      <w:r w:rsidRPr="00A9077B">
        <w:t xml:space="preserve">La partie qui prend l’initiative de la révision ou de la dénonciation doit en indiquer les motifs et déposer des propositions d’amendement auprès du Président de la Commission paritaire. </w:t>
      </w:r>
    </w:p>
    <w:p w:rsidR="00A9077B" w:rsidRPr="00A9077B" w:rsidRDefault="00A9077B" w:rsidP="00A9077B">
      <w:pPr>
        <w:jc w:val="both"/>
      </w:pPr>
      <w:r w:rsidRPr="00A9077B">
        <w:rPr>
          <w:b/>
        </w:rPr>
        <w:t>Article 6.</w:t>
      </w:r>
      <w:r w:rsidRPr="00A9077B">
        <w:t xml:space="preserve"> Les parties signataires demandent au Gouvernement de la Communauté française de rendre obligatoire la </w:t>
      </w:r>
      <w:bookmarkStart w:id="0" w:name="_GoBack"/>
      <w:bookmarkEnd w:id="0"/>
      <w:r w:rsidRPr="00A9077B">
        <w:t xml:space="preserve">présente décision conformément aux dispositions du décret du 1er février 1993 fixant le statut des membres du personnel subsidiés de l’enseignement libre subventionné. </w:t>
      </w:r>
    </w:p>
    <w:p w:rsidR="00581C41" w:rsidRDefault="00A9077B" w:rsidP="00A9077B">
      <w:pPr>
        <w:jc w:val="both"/>
      </w:pPr>
      <w:r w:rsidRPr="00A9077B">
        <w:lastRenderedPageBreak/>
        <w:t>Fait à Bruxelles, le 10 juillet 2007.</w:t>
      </w:r>
    </w:p>
    <w:sectPr w:rsidR="00581C41">
      <w:pgSz w:w="11906" w:h="16838"/>
      <w:pgMar w:top="1417" w:right="1417" w:bottom="1417" w:left="1417"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Calibri">
    <w:panose1 w:val="020F0502020204030204"/>
    <w:charset w:val="00"/>
    <w:family w:val="swiss"/>
    <w:pitch w:val="variable"/>
    <w:sig w:usb0="E0002A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libri Light">
    <w:panose1 w:val="020F0302020204030204"/>
    <w:charset w:val="00"/>
    <w:family w:val="swiss"/>
    <w:pitch w:val="variable"/>
    <w:sig w:usb0="E0002AFF" w:usb1="C000247B" w:usb2="00000009" w:usb3="00000000" w:csb0="000001F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15:restartNumberingAfterBreak="0">
    <w:nsid w:val="CF4D9690"/>
    <w:multiLevelType w:val="hybridMultilevel"/>
    <w:tmpl w:val="2E9EA9E6"/>
    <w:lvl w:ilvl="0" w:tplc="FFFFFFFF">
      <w:start w:val="1"/>
      <w:numFmt w:val="decimal"/>
      <w:lvlText w:val=""/>
      <w:lvlJc w:val="left"/>
    </w:lvl>
    <w:lvl w:ilvl="1" w:tplc="FFFFFFFF">
      <w:numFmt w:val="decimal"/>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1" w15:restartNumberingAfterBreak="0">
    <w:nsid w:val="DC9FC0B7"/>
    <w:multiLevelType w:val="hybridMultilevel"/>
    <w:tmpl w:val="321D9E3F"/>
    <w:lvl w:ilvl="0" w:tplc="FFFFFFFF">
      <w:start w:val="1"/>
      <w:numFmt w:val="decimal"/>
      <w:lvlText w:val=""/>
      <w:lvlJc w:val="left"/>
    </w:lvl>
    <w:lvl w:ilvl="1" w:tplc="FFFFFFFF">
      <w:numFmt w:val="decimal"/>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num w:numId="1">
    <w:abstractNumId w:val="0"/>
  </w:num>
  <w:num w:numId="2">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proofState w:spelling="clean" w:grammar="clean"/>
  <w:defaultTabStop w:val="708"/>
  <w:hyphenationZone w:val="425"/>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066201"/>
    <w:rsid w:val="00066201"/>
    <w:rsid w:val="0081163C"/>
    <w:rsid w:val="00A9077B"/>
    <w:rsid w:val="00FF1312"/>
  </w:rsids>
  <m:mathPr>
    <m:mathFont m:val="Cambria Math"/>
    <m:brkBin m:val="before"/>
    <m:brkBinSub m:val="--"/>
    <m:smallFrac m:val="0"/>
    <m:dispDef/>
    <m:lMargin m:val="0"/>
    <m:rMargin m:val="0"/>
    <m:defJc m:val="centerGroup"/>
    <m:wrapIndent m:val="1440"/>
    <m:intLim m:val="subSup"/>
    <m:naryLim m:val="undOvr"/>
  </m:mathPr>
  <w:themeFontLang w:val="fr-BE"/>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chartTrackingRefBased/>
  <w15:docId w15:val="{69E3CE18-D9DA-4A16-A93F-B549B53CCD2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fr-BE"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style>
  <w:style w:type="character" w:default="1" w:styleId="Policepardfaut">
    <w:name w:val="Default Paragraph Font"/>
    <w:uiPriority w:val="1"/>
    <w:unhideWhenUsed/>
  </w:style>
  <w:style w:type="table" w:default="1" w:styleId="TableauNormal">
    <w:name w:val="Normal Table"/>
    <w:uiPriority w:val="99"/>
    <w:semiHidden/>
    <w:unhideWhenUsed/>
    <w:tblPr>
      <w:tblInd w:w="0" w:type="dxa"/>
      <w:tblCellMar>
        <w:top w:w="0" w:type="dxa"/>
        <w:left w:w="108" w:type="dxa"/>
        <w:bottom w:w="0" w:type="dxa"/>
        <w:right w:w="108" w:type="dxa"/>
      </w:tblCellMar>
    </w:tblPr>
  </w:style>
  <w:style w:type="numbering" w:default="1" w:styleId="Aucuneliste">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allowPNG/>
</w:webSettings>
</file>

<file path=word/_rels/document.xml.rels><?xml version="1.0" encoding="UTF-8" standalone="yes"?>
<Relationships xmlns="http://schemas.openxmlformats.org/package/2006/relationships"><Relationship Id="rId8" Type="http://schemas.openxmlformats.org/officeDocument/2006/relationships/customXml" Target="../customXml/item2.xml"/><Relationship Id="rId3" Type="http://schemas.openxmlformats.org/officeDocument/2006/relationships/settings" Target="settings.xml"/><Relationship Id="rId7" Type="http://schemas.openxmlformats.org/officeDocument/2006/relationships/customXml" Target="../customXml/item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 Id="rId9" Type="http://schemas.openxmlformats.org/officeDocument/2006/relationships/customXml" Target="../customXml/item3.xml"/></Relationships>
</file>

<file path=word/theme/theme1.xml><?xml version="1.0" encoding="utf-8"?>
<a:theme xmlns:a="http://schemas.openxmlformats.org/drawingml/2006/main" name="Thème Offic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item1.xml><?xml version="1.0" encoding="utf-8"?>
<ct:contentTypeSchema xmlns:ct="http://schemas.microsoft.com/office/2006/metadata/contentType" xmlns:ma="http://schemas.microsoft.com/office/2006/metadata/properties/metaAttributes" ct:_="" ma:_="" ma:contentTypeName="Document" ma:contentTypeID="0x010100393F201094E93C4C8BC09238801340F6" ma:contentTypeVersion="11" ma:contentTypeDescription="Crée un document." ma:contentTypeScope="" ma:versionID="f0504b518aadd08482dbc467cb430dfd">
  <xsd:schema xmlns:xsd="http://www.w3.org/2001/XMLSchema" xmlns:xs="http://www.w3.org/2001/XMLSchema" xmlns:p="http://schemas.microsoft.com/office/2006/metadata/properties" xmlns:ns2="7564d7e6-00e8-4f2a-938f-1d9ac501b84f" xmlns:ns3="61a1688b-ef6f-490d-86b3-c87a6f6580cd" targetNamespace="http://schemas.microsoft.com/office/2006/metadata/properties" ma:root="true" ma:fieldsID="8d36b0ce70ff8b1789dce5ef702348bc" ns2:_="" ns3:_="">
    <xsd:import namespace="7564d7e6-00e8-4f2a-938f-1d9ac501b84f"/>
    <xsd:import namespace="61a1688b-ef6f-490d-86b3-c87a6f6580cd"/>
    <xsd:element name="properties">
      <xsd:complexType>
        <xsd:sequence>
          <xsd:element name="documentManagement">
            <xsd:complexType>
              <xsd:all>
                <xsd:element ref="ns2:MediaServiceMetadata" minOccurs="0"/>
                <xsd:element ref="ns2:MediaServiceFastMetadata" minOccurs="0"/>
                <xsd:element ref="ns2:MediaServiceSearchProperties" minOccurs="0"/>
                <xsd:element ref="ns2:lcf76f155ced4ddcb4097134ff3c332f" minOccurs="0"/>
                <xsd:element ref="ns3:TaxCatchAll" minOccurs="0"/>
                <xsd:element ref="ns2:MediaServiceDateTaken" minOccurs="0"/>
                <xsd:element ref="ns2:MediaServiceOCR" minOccurs="0"/>
                <xsd:element ref="ns2:MediaServiceGenerationTime" minOccurs="0"/>
                <xsd:element ref="ns2:MediaServiceEventHashCode" minOccurs="0"/>
                <xsd:element ref="ns2:MediaLengthInSecond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7564d7e6-00e8-4f2a-938f-1d9ac501b84f"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SearchProperties" ma:index="10" nillable="true" ma:displayName="MediaServiceSearchProperties" ma:hidden="true" ma:internalName="MediaServiceSearchProperties" ma:readOnly="true">
      <xsd:simpleType>
        <xsd:restriction base="dms:Note"/>
      </xsd:simpleType>
    </xsd:element>
    <xsd:element name="lcf76f155ced4ddcb4097134ff3c332f" ma:index="12" nillable="true" ma:taxonomy="true" ma:internalName="lcf76f155ced4ddcb4097134ff3c332f" ma:taxonomyFieldName="MediaServiceImageTags" ma:displayName="Balises d’images" ma:readOnly="false" ma:fieldId="{5cf76f15-5ced-4ddc-b409-7134ff3c332f}" ma:taxonomyMulti="true" ma:sspId="f5648a96-cea2-4c1b-af13-24c66345d7fe" ma:termSetId="09814cd3-568e-fe90-9814-8d621ff8fb84" ma:anchorId="fba54fb3-c3e1-fe81-a776-ca4b69148c4d" ma:open="true" ma:isKeyword="false">
      <xsd:complexType>
        <xsd:sequence>
          <xsd:element ref="pc:Terms" minOccurs="0" maxOccurs="1"/>
        </xsd:sequence>
      </xsd:complexType>
    </xsd:element>
    <xsd:element name="MediaServiceDateTaken" ma:index="14" nillable="true" ma:displayName="MediaServiceDateTaken" ma:hidden="true" ma:indexed="true" ma:internalName="MediaServiceDateTaken" ma:readOnly="true">
      <xsd:simpleType>
        <xsd:restriction base="dms:Text"/>
      </xsd:simpleType>
    </xsd:element>
    <xsd:element name="MediaServiceOCR" ma:index="15" nillable="true" ma:displayName="Extracted Text" ma:internalName="MediaServiceOCR" ma:readOnly="true">
      <xsd:simpleType>
        <xsd:restriction base="dms:Note">
          <xsd:maxLength value="255"/>
        </xsd:restriction>
      </xsd:simpleType>
    </xsd:element>
    <xsd:element name="MediaServiceGenerationTime" ma:index="16" nillable="true" ma:displayName="MediaServiceGenerationTime" ma:hidden="true" ma:internalName="MediaServiceGenerationTime" ma:readOnly="true">
      <xsd:simpleType>
        <xsd:restriction base="dms:Text"/>
      </xsd:simpleType>
    </xsd:element>
    <xsd:element name="MediaServiceEventHashCode" ma:index="17" nillable="true" ma:displayName="MediaServiceEventHashCode" ma:hidden="true" ma:internalName="MediaServiceEventHashCode" ma:readOnly="true">
      <xsd:simpleType>
        <xsd:restriction base="dms:Text"/>
      </xsd:simpleType>
    </xsd:element>
    <xsd:element name="MediaLengthInSeconds" ma:index="18" nillable="true" ma:displayName="MediaLengthInSeconds" ma:hidden="true" ma:internalName="MediaLengthInSeconds" ma:readOnly="true">
      <xsd:simpleType>
        <xsd:restriction base="dms:Unknown"/>
      </xsd:simpleType>
    </xsd:element>
  </xsd:schema>
  <xsd:schema xmlns:xsd="http://www.w3.org/2001/XMLSchema" xmlns:xs="http://www.w3.org/2001/XMLSchema" xmlns:dms="http://schemas.microsoft.com/office/2006/documentManagement/types" xmlns:pc="http://schemas.microsoft.com/office/infopath/2007/PartnerControls" targetNamespace="61a1688b-ef6f-490d-86b3-c87a6f6580cd" elementFormDefault="qualified">
    <xsd:import namespace="http://schemas.microsoft.com/office/2006/documentManagement/types"/>
    <xsd:import namespace="http://schemas.microsoft.com/office/infopath/2007/PartnerControls"/>
    <xsd:element name="TaxCatchAll" ma:index="13" nillable="true" ma:displayName="Taxonomy Catch All Column" ma:hidden="true" ma:list="{dab102f5-0d71-420d-993f-1d71fd980b3b}" ma:internalName="TaxCatchAll" ma:showField="CatchAllData" ma:web="61a1688b-ef6f-490d-86b3-c87a6f6580cd">
      <xsd:complexType>
        <xsd:complexContent>
          <xsd:extension base="dms:MultiChoiceLookup">
            <xsd:sequence>
              <xsd:element name="Value" type="dms:Lookup" maxOccurs="unbounded" minOccurs="0" nillable="true"/>
            </xsd:sequence>
          </xsd:extension>
        </xsd:complexContent>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Type de contenu"/>
        <xsd:element ref="dc:title" minOccurs="0" maxOccurs="1" ma:index="4" ma:displayName="Titr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2.xml><?xml version="1.0" encoding="utf-8"?>
<?mso-contentType ?>
<FormTemplates xmlns="http://schemas.microsoft.com/sharepoint/v3/contenttype/forms">
  <Display>DocumentLibraryForm</Display>
  <Edit>DocumentLibraryForm</Edit>
  <New>DocumentLibraryForm</New>
</FormTemplates>
</file>

<file path=customXml/item3.xml><?xml version="1.0" encoding="utf-8"?>
<p:properties xmlns:p="http://schemas.microsoft.com/office/2006/metadata/properties" xmlns:xsi="http://www.w3.org/2001/XMLSchema-instance" xmlns:pc="http://schemas.microsoft.com/office/infopath/2007/PartnerControls">
  <documentManagement>
    <TaxCatchAll xmlns="61a1688b-ef6f-490d-86b3-c87a6f6580cd" xsi:nil="true"/>
    <lcf76f155ced4ddcb4097134ff3c332f xmlns="7564d7e6-00e8-4f2a-938f-1d9ac501b84f">
      <Terms xmlns="http://schemas.microsoft.com/office/infopath/2007/PartnerControls"/>
    </lcf76f155ced4ddcb4097134ff3c332f>
  </documentManagement>
</p:properties>
</file>

<file path=customXml/itemProps1.xml><?xml version="1.0" encoding="utf-8"?>
<ds:datastoreItem xmlns:ds="http://schemas.openxmlformats.org/officeDocument/2006/customXml" ds:itemID="{137050A1-820B-4570-8B91-31FCEC636DE0}"/>
</file>

<file path=customXml/itemProps2.xml><?xml version="1.0" encoding="utf-8"?>
<ds:datastoreItem xmlns:ds="http://schemas.openxmlformats.org/officeDocument/2006/customXml" ds:itemID="{7AC96692-E581-4804-A8D6-96B7F4E191EF}"/>
</file>

<file path=customXml/itemProps3.xml><?xml version="1.0" encoding="utf-8"?>
<ds:datastoreItem xmlns:ds="http://schemas.openxmlformats.org/officeDocument/2006/customXml" ds:itemID="{F215B8E4-679D-4FBF-9813-1D077701A161}"/>
</file>

<file path=docProps/app.xml><?xml version="1.0" encoding="utf-8"?>
<Properties xmlns="http://schemas.openxmlformats.org/officeDocument/2006/extended-properties" xmlns:vt="http://schemas.openxmlformats.org/officeDocument/2006/docPropsVTypes">
  <Template>Normal.dotm</Template>
  <TotalTime>6</TotalTime>
  <Pages>4</Pages>
  <Words>871</Words>
  <Characters>4795</Characters>
  <Application>Microsoft Office Word</Application>
  <DocSecurity>0</DocSecurity>
  <Lines>39</Lines>
  <Paragraphs>11</Paragraphs>
  <ScaleCrop>false</ScaleCrop>
  <Company>ETNIC</Company>
  <LinksUpToDate>false</LinksUpToDate>
  <CharactersWithSpaces>5655</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PERIN Aurélie</dc:creator>
  <cp:keywords/>
  <dc:description/>
  <cp:lastModifiedBy>PERIN Aurélie</cp:lastModifiedBy>
  <cp:revision>2</cp:revision>
  <dcterms:created xsi:type="dcterms:W3CDTF">2019-05-02T09:03:00Z</dcterms:created>
  <dcterms:modified xsi:type="dcterms:W3CDTF">2019-05-02T09:09:00Z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0x010100393F201094E93C4C8BC09238801340F6</vt:lpwstr>
  </property>
</Properties>
</file>